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6D194866" w14:textId="1BDBC345" w:rsidR="00747929" w:rsidRPr="00747929" w:rsidRDefault="00747929" w:rsidP="00747929">
          <w:pPr>
            <w:jc w:val="left"/>
            <w:rPr>
              <w:b/>
              <w:bCs/>
              <w:i/>
              <w:iCs/>
              <w:color w:val="FFFFFF" w:themeColor="background1"/>
              <w:szCs w:val="28"/>
              <w:lang w:eastAsia="fr-FR"/>
            </w:rPr>
          </w:pPr>
          <w:r w:rsidRPr="00747929">
            <w:rPr>
              <w:b/>
              <w:bCs/>
              <w:i/>
              <w:iCs/>
              <w:noProof/>
              <w:color w:val="FFFFFF" w:themeColor="background1"/>
              <w:szCs w:val="28"/>
              <w:lang w:eastAsia="fr-FR"/>
              <w14:ligatures w14:val="standardContextual"/>
            </w:rPr>
            <mc:AlternateContent>
              <mc:Choice Requires="wps">
                <w:drawing>
                  <wp:anchor distT="0" distB="0" distL="114300" distR="114300" simplePos="0" relativeHeight="251665920" behindDoc="1" locked="0" layoutInCell="1" allowOverlap="1" wp14:anchorId="58DEE763" wp14:editId="778F0A5E">
                    <wp:simplePos x="0" y="0"/>
                    <wp:positionH relativeFrom="column">
                      <wp:posOffset>-1238250</wp:posOffset>
                    </wp:positionH>
                    <wp:positionV relativeFrom="paragraph">
                      <wp:posOffset>-914400</wp:posOffset>
                    </wp:positionV>
                    <wp:extent cx="15464790" cy="10688955"/>
                    <wp:effectExtent l="0" t="0" r="22860" b="17145"/>
                    <wp:wrapNone/>
                    <wp:docPr id="44653348" name="Rectangle 4"/>
                    <wp:cNvGraphicFramePr/>
                    <a:graphic xmlns:a="http://schemas.openxmlformats.org/drawingml/2006/main">
                      <a:graphicData uri="http://schemas.microsoft.com/office/word/2010/wordprocessingShape">
                        <wps:wsp>
                          <wps:cNvSpPr/>
                          <wps:spPr>
                            <a:xfrm>
                              <a:off x="0" y="0"/>
                              <a:ext cx="15464790" cy="1068895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46A0FE" id="Rectangle 4" o:spid="_x0000_s1026" style="position:absolute;margin-left:-97.5pt;margin-top:-1in;width:1217.7pt;height:841.65pt;z-index:-25165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" fillcolor="#4472c4 [3204]" strokecolor="#09101d [484]" strokeweight="1pt"/>
                </w:pict>
              </mc:Fallback>
            </mc:AlternateContent>
          </w:r>
          <w:r w:rsidRPr="00747929">
            <w:rPr>
              <w:b/>
              <w:bCs/>
              <w:i/>
              <w:iCs/>
              <w:color w:val="FFFFFF" w:themeColor="background1"/>
              <w:szCs w:val="28"/>
              <w:lang w:eastAsia="fr-FR"/>
            </w:rPr>
            <w:t>Module 1 : Audit de la situation juridique des personnes et des biens et stratégies patrimoniales civiles</w:t>
          </w:r>
        </w:p>
        <w:p w14:paraId="7DFB6F75" w14:textId="7B14B1A7" w:rsidR="00747929" w:rsidRPr="00747929" w:rsidRDefault="00747929" w:rsidP="00747929">
          <w:pPr>
            <w:jc w:val="left"/>
            <w:rPr>
              <w:b/>
              <w:bCs/>
              <w:i/>
              <w:iCs/>
              <w:color w:val="FFFFFF" w:themeColor="background1"/>
              <w:szCs w:val="28"/>
              <w:lang w:eastAsia="fr-FR"/>
            </w:rPr>
          </w:pPr>
          <w:r w:rsidRPr="00747929">
            <w:rPr>
              <w:b/>
              <w:bCs/>
              <w:i/>
              <w:iCs/>
              <w:color w:val="FFFFFF" w:themeColor="background1"/>
              <w:szCs w:val="28"/>
              <w:lang w:eastAsia="fr-FR"/>
            </w:rPr>
            <w:t xml:space="preserve">Leçon 4 : La gestion du patrimoine familial en </w:t>
          </w:r>
          <w:r w:rsidRPr="00747929">
            <w:rPr>
              <w:b/>
              <w:bCs/>
              <w:i/>
              <w:iCs/>
              <w:color w:val="FFFFFF" w:themeColor="background1"/>
              <w:szCs w:val="28"/>
              <w:lang w:eastAsia="fr-FR"/>
            </w:rPr>
            <w:t>présence</w:t>
          </w:r>
          <w:r w:rsidRPr="00747929">
            <w:rPr>
              <w:b/>
              <w:bCs/>
              <w:i/>
              <w:iCs/>
              <w:color w:val="FFFFFF" w:themeColor="background1"/>
              <w:szCs w:val="28"/>
              <w:lang w:eastAsia="fr-FR"/>
            </w:rPr>
            <w:t xml:space="preserve"> d’un chef ou dirigeant d’entreprise</w:t>
          </w:r>
        </w:p>
        <w:p w14:paraId="5A3597C1" w14:textId="77777777" w:rsidR="00747929" w:rsidRPr="00747929" w:rsidRDefault="00747929" w:rsidP="00747929">
          <w:pPr>
            <w:pStyle w:val="CGPC-elearning"/>
            <w:rPr>
              <w:color w:val="FFFFFF" w:themeColor="background1"/>
              <w:lang w:eastAsia="fr-FR"/>
            </w:rPr>
          </w:pPr>
        </w:p>
        <w:p w14:paraId="3B249710" w14:textId="77777777" w:rsidR="00747929" w:rsidRPr="00747929" w:rsidRDefault="00747929" w:rsidP="00747929">
          <w:pPr>
            <w:pStyle w:val="CGPC-elearning"/>
            <w:rPr>
              <w:color w:val="FFFFFF" w:themeColor="background1"/>
              <w:lang w:eastAsia="fr-FR"/>
            </w:rPr>
          </w:pPr>
        </w:p>
        <w:p w14:paraId="4D314202" w14:textId="77777777" w:rsidR="00747929" w:rsidRPr="00747929" w:rsidRDefault="00747929" w:rsidP="00747929">
          <w:pPr>
            <w:pStyle w:val="CGPC-elearning"/>
            <w:rPr>
              <w:color w:val="FFFFFF" w:themeColor="background1"/>
              <w:lang w:eastAsia="fr-FR"/>
            </w:rPr>
          </w:pPr>
        </w:p>
        <w:p w14:paraId="17EBE3C2" w14:textId="77777777" w:rsidR="00747929" w:rsidRPr="00747929" w:rsidRDefault="00747929" w:rsidP="00747929">
          <w:pPr>
            <w:pStyle w:val="CGPC-elearning"/>
            <w:rPr>
              <w:color w:val="FFFFFF" w:themeColor="background1"/>
              <w:lang w:eastAsia="fr-FR"/>
            </w:rPr>
          </w:pPr>
        </w:p>
        <w:p w14:paraId="7AE65199" w14:textId="77777777" w:rsidR="00747929" w:rsidRPr="00747929" w:rsidRDefault="00747929" w:rsidP="00747929">
          <w:pPr>
            <w:pStyle w:val="CGPC-elearning"/>
            <w:rPr>
              <w:color w:val="FFFFFF" w:themeColor="background1"/>
              <w:lang w:eastAsia="fr-FR"/>
            </w:rPr>
          </w:pPr>
        </w:p>
        <w:p w14:paraId="44D79974" w14:textId="77777777" w:rsidR="00747929" w:rsidRPr="00747929" w:rsidRDefault="00747929" w:rsidP="00747929">
          <w:pPr>
            <w:pStyle w:val="CGPC-elearning"/>
            <w:rPr>
              <w:color w:val="FFFFFF" w:themeColor="background1"/>
              <w:lang w:eastAsia="fr-FR"/>
            </w:rPr>
          </w:pPr>
        </w:p>
        <w:p w14:paraId="54AFE1E3" w14:textId="77777777" w:rsidR="00747929" w:rsidRPr="00747929" w:rsidRDefault="00747929" w:rsidP="00747929">
          <w:pPr>
            <w:pStyle w:val="CGPC-elearning"/>
            <w:rPr>
              <w:color w:val="FFFFFF" w:themeColor="background1"/>
              <w:lang w:eastAsia="fr-FR"/>
            </w:rPr>
          </w:pPr>
        </w:p>
        <w:p w14:paraId="25DA95ED" w14:textId="77777777" w:rsidR="00747929" w:rsidRPr="00747929" w:rsidRDefault="00747929" w:rsidP="00747929">
          <w:pPr>
            <w:pStyle w:val="CGPC-elearning"/>
            <w:rPr>
              <w:color w:val="FFFFFF" w:themeColor="background1"/>
              <w:lang w:eastAsia="fr-FR"/>
            </w:rPr>
          </w:pPr>
        </w:p>
        <w:p w14:paraId="6C3DDB74" w14:textId="56852643" w:rsidR="00677448" w:rsidRDefault="00747929" w:rsidP="00747929">
          <w:pPr>
            <w:jc w:val="left"/>
            <w:rPr>
              <w:lang w:eastAsia="fr-FR"/>
            </w:rPr>
          </w:pPr>
          <w:r w:rsidRPr="00747929">
            <w:rPr>
              <w:b/>
              <w:bCs/>
              <w:color w:val="FFFFFF" w:themeColor="background1"/>
              <w:sz w:val="60"/>
              <w:szCs w:val="60"/>
              <w:lang w:eastAsia="fr-FR"/>
            </w:rPr>
            <w:t>Chapitre 3 : Responsabilités et protection d’un chef d’entreprise</w:t>
          </w:r>
          <w:r w:rsidRPr="00747929">
            <w:rPr>
              <w:b/>
              <w:bCs/>
              <w:color w:val="FFFFFF" w:themeColor="background1"/>
              <w:lang w:eastAsia="fr-FR"/>
            </w:rPr>
            <w:t xml:space="preserve"> </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1C18EBF3" w14:textId="77777777" w:rsidR="00B8067C" w:rsidRPr="00B8067C" w:rsidRDefault="00B8067C" w:rsidP="00B8067C">
          <w:r>
            <w:t>Table des matières</w:t>
          </w:r>
        </w:p>
        <w:p w14:paraId="041C7E19" w14:textId="32CF5E4C" w:rsidR="00CB39A6" w:rsidRDefault="00A24546">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"1-4" \h \z \u </w:instrText>
          </w:r>
          <w:r>
            <w:fldChar w:fldCharType="separate"/>
          </w:r>
          <w:hyperlink w:anchor="_Toc186713559" w:history="1">
            <w:r w:rsidR="00CB39A6" w:rsidRPr="00734575">
              <w:rPr>
                <w:rStyle w:val="Lienhypertexte"/>
                <w:noProof/>
              </w:rPr>
              <w:t>I.</w:t>
            </w:r>
            <w:r w:rsidR="00CB39A6">
              <w:rPr>
                <w:rFonts w:asciiTheme="minorHAnsi" w:eastAsiaTheme="minorEastAsia" w:hAnsiTheme="minorHAnsi"/>
                <w:noProof/>
                <w:kern w:val="2"/>
                <w:sz w:val="24"/>
                <w:szCs w:val="24"/>
                <w:lang w:val="en-US"/>
                <w14:ligatures w14:val="standardContextual"/>
              </w:rPr>
              <w:tab/>
            </w:r>
            <w:r w:rsidR="00CB39A6" w:rsidRPr="00734575">
              <w:rPr>
                <w:rStyle w:val="Lienhypertexte"/>
                <w:noProof/>
              </w:rPr>
              <w:t>Les responsabilités du chef ou dirigeant d’entreprise</w:t>
            </w:r>
            <w:r w:rsidR="00CB39A6">
              <w:rPr>
                <w:noProof/>
                <w:webHidden/>
              </w:rPr>
              <w:tab/>
            </w:r>
            <w:r w:rsidR="00CB39A6">
              <w:rPr>
                <w:noProof/>
                <w:webHidden/>
              </w:rPr>
              <w:fldChar w:fldCharType="begin"/>
            </w:r>
            <w:r w:rsidR="00CB39A6">
              <w:rPr>
                <w:noProof/>
                <w:webHidden/>
              </w:rPr>
              <w:instrText xml:space="preserve"> PAGEREF _Toc186713559 \h </w:instrText>
            </w:r>
            <w:r w:rsidR="00CB39A6">
              <w:rPr>
                <w:noProof/>
                <w:webHidden/>
              </w:rPr>
            </w:r>
            <w:r w:rsidR="00CB39A6">
              <w:rPr>
                <w:noProof/>
                <w:webHidden/>
              </w:rPr>
              <w:fldChar w:fldCharType="separate"/>
            </w:r>
            <w:r w:rsidR="00CB39A6">
              <w:rPr>
                <w:noProof/>
                <w:webHidden/>
              </w:rPr>
              <w:t>2</w:t>
            </w:r>
            <w:r w:rsidR="00CB39A6">
              <w:rPr>
                <w:noProof/>
                <w:webHidden/>
              </w:rPr>
              <w:fldChar w:fldCharType="end"/>
            </w:r>
          </w:hyperlink>
        </w:p>
        <w:p w14:paraId="541E2B4B" w14:textId="7504435A"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60" w:history="1">
            <w:r w:rsidRPr="00734575">
              <w:rPr>
                <w:rStyle w:val="Lienhypertexte"/>
                <w:noProof/>
              </w:rPr>
              <w:t>1.</w:t>
            </w:r>
            <w:r>
              <w:rPr>
                <w:rFonts w:asciiTheme="minorHAnsi" w:eastAsiaTheme="minorEastAsia" w:hAnsiTheme="minorHAnsi"/>
                <w:noProof/>
                <w:kern w:val="2"/>
                <w:sz w:val="24"/>
                <w:szCs w:val="24"/>
                <w:lang w:val="en-US"/>
                <w14:ligatures w14:val="standardContextual"/>
              </w:rPr>
              <w:tab/>
            </w:r>
            <w:r w:rsidRPr="00734575">
              <w:rPr>
                <w:rStyle w:val="Lienhypertexte"/>
                <w:noProof/>
              </w:rPr>
              <w:t>Responsabilité de l’entrepreneur individuel et de l’EIRL</w:t>
            </w:r>
            <w:r>
              <w:rPr>
                <w:noProof/>
                <w:webHidden/>
              </w:rPr>
              <w:tab/>
            </w:r>
            <w:r>
              <w:rPr>
                <w:noProof/>
                <w:webHidden/>
              </w:rPr>
              <w:fldChar w:fldCharType="begin"/>
            </w:r>
            <w:r>
              <w:rPr>
                <w:noProof/>
                <w:webHidden/>
              </w:rPr>
              <w:instrText xml:space="preserve"> PAGEREF _Toc186713560 \h </w:instrText>
            </w:r>
            <w:r>
              <w:rPr>
                <w:noProof/>
                <w:webHidden/>
              </w:rPr>
            </w:r>
            <w:r>
              <w:rPr>
                <w:noProof/>
                <w:webHidden/>
              </w:rPr>
              <w:fldChar w:fldCharType="separate"/>
            </w:r>
            <w:r>
              <w:rPr>
                <w:noProof/>
                <w:webHidden/>
              </w:rPr>
              <w:t>4</w:t>
            </w:r>
            <w:r>
              <w:rPr>
                <w:noProof/>
                <w:webHidden/>
              </w:rPr>
              <w:fldChar w:fldCharType="end"/>
            </w:r>
          </w:hyperlink>
        </w:p>
        <w:p w14:paraId="246FCE84" w14:textId="57BA4057"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61" w:history="1">
            <w:r w:rsidRPr="00734575">
              <w:rPr>
                <w:rStyle w:val="Lienhypertexte"/>
                <w:noProof/>
              </w:rPr>
              <w:t>A.</w:t>
            </w:r>
            <w:r>
              <w:rPr>
                <w:rFonts w:asciiTheme="minorHAnsi" w:eastAsiaTheme="minorEastAsia" w:hAnsiTheme="minorHAnsi"/>
                <w:noProof/>
                <w:kern w:val="2"/>
                <w:sz w:val="24"/>
                <w:szCs w:val="24"/>
                <w:lang w:val="en-US"/>
                <w14:ligatures w14:val="standardContextual"/>
              </w:rPr>
              <w:tab/>
            </w:r>
            <w:r w:rsidRPr="00734575">
              <w:rPr>
                <w:rStyle w:val="Lienhypertexte"/>
                <w:noProof/>
              </w:rPr>
              <w:t>Le nouveau statut d’entrepreneur individuel</w:t>
            </w:r>
            <w:r>
              <w:rPr>
                <w:noProof/>
                <w:webHidden/>
              </w:rPr>
              <w:tab/>
            </w:r>
            <w:r>
              <w:rPr>
                <w:noProof/>
                <w:webHidden/>
              </w:rPr>
              <w:fldChar w:fldCharType="begin"/>
            </w:r>
            <w:r>
              <w:rPr>
                <w:noProof/>
                <w:webHidden/>
              </w:rPr>
              <w:instrText xml:space="preserve"> PAGEREF _Toc186713561 \h </w:instrText>
            </w:r>
            <w:r>
              <w:rPr>
                <w:noProof/>
                <w:webHidden/>
              </w:rPr>
            </w:r>
            <w:r>
              <w:rPr>
                <w:noProof/>
                <w:webHidden/>
              </w:rPr>
              <w:fldChar w:fldCharType="separate"/>
            </w:r>
            <w:r>
              <w:rPr>
                <w:noProof/>
                <w:webHidden/>
              </w:rPr>
              <w:t>4</w:t>
            </w:r>
            <w:r>
              <w:rPr>
                <w:noProof/>
                <w:webHidden/>
              </w:rPr>
              <w:fldChar w:fldCharType="end"/>
            </w:r>
          </w:hyperlink>
        </w:p>
        <w:p w14:paraId="70525180" w14:textId="47EC63CB"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62" w:history="1">
            <w:r w:rsidRPr="00734575">
              <w:rPr>
                <w:rStyle w:val="Lienhypertexte"/>
                <w:noProof/>
              </w:rPr>
              <w:t>B.</w:t>
            </w:r>
            <w:r>
              <w:rPr>
                <w:rFonts w:asciiTheme="minorHAnsi" w:eastAsiaTheme="minorEastAsia" w:hAnsiTheme="minorHAnsi"/>
                <w:noProof/>
                <w:kern w:val="2"/>
                <w:sz w:val="24"/>
                <w:szCs w:val="24"/>
                <w:lang w:val="en-US"/>
                <w14:ligatures w14:val="standardContextual"/>
              </w:rPr>
              <w:tab/>
            </w:r>
            <w:r w:rsidRPr="00734575">
              <w:rPr>
                <w:rStyle w:val="Lienhypertexte"/>
                <w:noProof/>
              </w:rPr>
              <w:t>Les personnes concernées par le nouveau statut d’entrepreneur individuel</w:t>
            </w:r>
            <w:r>
              <w:rPr>
                <w:noProof/>
                <w:webHidden/>
              </w:rPr>
              <w:tab/>
            </w:r>
            <w:r>
              <w:rPr>
                <w:noProof/>
                <w:webHidden/>
              </w:rPr>
              <w:fldChar w:fldCharType="begin"/>
            </w:r>
            <w:r>
              <w:rPr>
                <w:noProof/>
                <w:webHidden/>
              </w:rPr>
              <w:instrText xml:space="preserve"> PAGEREF _Toc186713562 \h </w:instrText>
            </w:r>
            <w:r>
              <w:rPr>
                <w:noProof/>
                <w:webHidden/>
              </w:rPr>
            </w:r>
            <w:r>
              <w:rPr>
                <w:noProof/>
                <w:webHidden/>
              </w:rPr>
              <w:fldChar w:fldCharType="separate"/>
            </w:r>
            <w:r>
              <w:rPr>
                <w:noProof/>
                <w:webHidden/>
              </w:rPr>
              <w:t>4</w:t>
            </w:r>
            <w:r>
              <w:rPr>
                <w:noProof/>
                <w:webHidden/>
              </w:rPr>
              <w:fldChar w:fldCharType="end"/>
            </w:r>
          </w:hyperlink>
        </w:p>
        <w:p w14:paraId="210D9A81" w14:textId="0EA59B85"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63" w:history="1">
            <w:r w:rsidRPr="00734575">
              <w:rPr>
                <w:rStyle w:val="Lienhypertexte"/>
                <w:noProof/>
              </w:rPr>
              <w:t>C.</w:t>
            </w:r>
            <w:r>
              <w:rPr>
                <w:rFonts w:asciiTheme="minorHAnsi" w:eastAsiaTheme="minorEastAsia" w:hAnsiTheme="minorHAnsi"/>
                <w:noProof/>
                <w:kern w:val="2"/>
                <w:sz w:val="24"/>
                <w:szCs w:val="24"/>
                <w:lang w:val="en-US"/>
                <w14:ligatures w14:val="standardContextual"/>
              </w:rPr>
              <w:tab/>
            </w:r>
            <w:r w:rsidRPr="00734575">
              <w:rPr>
                <w:rStyle w:val="Lienhypertexte"/>
                <w:noProof/>
              </w:rPr>
              <w:t>Les modalités d’application</w:t>
            </w:r>
            <w:r>
              <w:rPr>
                <w:noProof/>
                <w:webHidden/>
              </w:rPr>
              <w:tab/>
            </w:r>
            <w:r>
              <w:rPr>
                <w:noProof/>
                <w:webHidden/>
              </w:rPr>
              <w:fldChar w:fldCharType="begin"/>
            </w:r>
            <w:r>
              <w:rPr>
                <w:noProof/>
                <w:webHidden/>
              </w:rPr>
              <w:instrText xml:space="preserve"> PAGEREF _Toc186713563 \h </w:instrText>
            </w:r>
            <w:r>
              <w:rPr>
                <w:noProof/>
                <w:webHidden/>
              </w:rPr>
            </w:r>
            <w:r>
              <w:rPr>
                <w:noProof/>
                <w:webHidden/>
              </w:rPr>
              <w:fldChar w:fldCharType="separate"/>
            </w:r>
            <w:r>
              <w:rPr>
                <w:noProof/>
                <w:webHidden/>
              </w:rPr>
              <w:t>4</w:t>
            </w:r>
            <w:r>
              <w:rPr>
                <w:noProof/>
                <w:webHidden/>
              </w:rPr>
              <w:fldChar w:fldCharType="end"/>
            </w:r>
          </w:hyperlink>
        </w:p>
        <w:p w14:paraId="21ED1C35" w14:textId="3CABA899"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64" w:history="1">
            <w:r w:rsidRPr="00734575">
              <w:rPr>
                <w:rStyle w:val="Lienhypertexte"/>
                <w:noProof/>
              </w:rPr>
              <w:t>2.</w:t>
            </w:r>
            <w:r>
              <w:rPr>
                <w:rFonts w:asciiTheme="minorHAnsi" w:eastAsiaTheme="minorEastAsia" w:hAnsiTheme="minorHAnsi"/>
                <w:noProof/>
                <w:kern w:val="2"/>
                <w:sz w:val="24"/>
                <w:szCs w:val="24"/>
                <w:lang w:val="en-US"/>
                <w14:ligatures w14:val="standardContextual"/>
              </w:rPr>
              <w:tab/>
            </w:r>
            <w:r w:rsidRPr="00734575">
              <w:rPr>
                <w:rStyle w:val="Lienhypertexte"/>
                <w:noProof/>
              </w:rPr>
              <w:t>L’entrepreneur individuel à responsabilité limitée (EIRL)</w:t>
            </w:r>
            <w:r>
              <w:rPr>
                <w:noProof/>
                <w:webHidden/>
              </w:rPr>
              <w:tab/>
            </w:r>
            <w:r>
              <w:rPr>
                <w:noProof/>
                <w:webHidden/>
              </w:rPr>
              <w:fldChar w:fldCharType="begin"/>
            </w:r>
            <w:r>
              <w:rPr>
                <w:noProof/>
                <w:webHidden/>
              </w:rPr>
              <w:instrText xml:space="preserve"> PAGEREF _Toc186713564 \h </w:instrText>
            </w:r>
            <w:r>
              <w:rPr>
                <w:noProof/>
                <w:webHidden/>
              </w:rPr>
            </w:r>
            <w:r>
              <w:rPr>
                <w:noProof/>
                <w:webHidden/>
              </w:rPr>
              <w:fldChar w:fldCharType="separate"/>
            </w:r>
            <w:r>
              <w:rPr>
                <w:noProof/>
                <w:webHidden/>
              </w:rPr>
              <w:t>5</w:t>
            </w:r>
            <w:r>
              <w:rPr>
                <w:noProof/>
                <w:webHidden/>
              </w:rPr>
              <w:fldChar w:fldCharType="end"/>
            </w:r>
          </w:hyperlink>
        </w:p>
        <w:p w14:paraId="205FF2D3" w14:textId="296956B1"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65" w:history="1">
            <w:r w:rsidRPr="00734575">
              <w:rPr>
                <w:rStyle w:val="Lienhypertexte"/>
                <w:noProof/>
              </w:rPr>
              <w:t>3.</w:t>
            </w:r>
            <w:r>
              <w:rPr>
                <w:rFonts w:asciiTheme="minorHAnsi" w:eastAsiaTheme="minorEastAsia" w:hAnsiTheme="minorHAnsi"/>
                <w:noProof/>
                <w:kern w:val="2"/>
                <w:sz w:val="24"/>
                <w:szCs w:val="24"/>
                <w:lang w:val="en-US"/>
                <w14:ligatures w14:val="standardContextual"/>
              </w:rPr>
              <w:tab/>
            </w:r>
            <w:r w:rsidRPr="00734575">
              <w:rPr>
                <w:rStyle w:val="Lienhypertexte"/>
                <w:noProof/>
              </w:rPr>
              <w:t>Les responsabilités du dirigeant de société</w:t>
            </w:r>
            <w:r>
              <w:rPr>
                <w:noProof/>
                <w:webHidden/>
              </w:rPr>
              <w:tab/>
            </w:r>
            <w:r>
              <w:rPr>
                <w:noProof/>
                <w:webHidden/>
              </w:rPr>
              <w:fldChar w:fldCharType="begin"/>
            </w:r>
            <w:r>
              <w:rPr>
                <w:noProof/>
                <w:webHidden/>
              </w:rPr>
              <w:instrText xml:space="preserve"> PAGEREF _Toc186713565 \h </w:instrText>
            </w:r>
            <w:r>
              <w:rPr>
                <w:noProof/>
                <w:webHidden/>
              </w:rPr>
            </w:r>
            <w:r>
              <w:rPr>
                <w:noProof/>
                <w:webHidden/>
              </w:rPr>
              <w:fldChar w:fldCharType="separate"/>
            </w:r>
            <w:r>
              <w:rPr>
                <w:noProof/>
                <w:webHidden/>
              </w:rPr>
              <w:t>5</w:t>
            </w:r>
            <w:r>
              <w:rPr>
                <w:noProof/>
                <w:webHidden/>
              </w:rPr>
              <w:fldChar w:fldCharType="end"/>
            </w:r>
          </w:hyperlink>
        </w:p>
        <w:p w14:paraId="1BF34CC4" w14:textId="6A5033F0"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66" w:history="1">
            <w:r w:rsidRPr="00734575">
              <w:rPr>
                <w:rStyle w:val="Lienhypertexte"/>
                <w:noProof/>
              </w:rPr>
              <w:t>A.</w:t>
            </w:r>
            <w:r>
              <w:rPr>
                <w:rFonts w:asciiTheme="minorHAnsi" w:eastAsiaTheme="minorEastAsia" w:hAnsiTheme="minorHAnsi"/>
                <w:noProof/>
                <w:kern w:val="2"/>
                <w:sz w:val="24"/>
                <w:szCs w:val="24"/>
                <w:lang w:val="en-US"/>
                <w14:ligatures w14:val="standardContextual"/>
              </w:rPr>
              <w:tab/>
            </w:r>
            <w:r w:rsidRPr="00734575">
              <w:rPr>
                <w:rStyle w:val="Lienhypertexte"/>
                <w:noProof/>
              </w:rPr>
              <w:t>Responsabilité civile du dirigeant</w:t>
            </w:r>
            <w:r>
              <w:rPr>
                <w:noProof/>
                <w:webHidden/>
              </w:rPr>
              <w:tab/>
            </w:r>
            <w:r>
              <w:rPr>
                <w:noProof/>
                <w:webHidden/>
              </w:rPr>
              <w:fldChar w:fldCharType="begin"/>
            </w:r>
            <w:r>
              <w:rPr>
                <w:noProof/>
                <w:webHidden/>
              </w:rPr>
              <w:instrText xml:space="preserve"> PAGEREF _Toc186713566 \h </w:instrText>
            </w:r>
            <w:r>
              <w:rPr>
                <w:noProof/>
                <w:webHidden/>
              </w:rPr>
            </w:r>
            <w:r>
              <w:rPr>
                <w:noProof/>
                <w:webHidden/>
              </w:rPr>
              <w:fldChar w:fldCharType="separate"/>
            </w:r>
            <w:r>
              <w:rPr>
                <w:noProof/>
                <w:webHidden/>
              </w:rPr>
              <w:t>6</w:t>
            </w:r>
            <w:r>
              <w:rPr>
                <w:noProof/>
                <w:webHidden/>
              </w:rPr>
              <w:fldChar w:fldCharType="end"/>
            </w:r>
          </w:hyperlink>
        </w:p>
        <w:p w14:paraId="5FD4B2F3" w14:textId="5F356466"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67" w:history="1">
            <w:r w:rsidRPr="00734575">
              <w:rPr>
                <w:rStyle w:val="Lienhypertexte"/>
                <w:noProof/>
              </w:rPr>
              <w:t>B.</w:t>
            </w:r>
            <w:r>
              <w:rPr>
                <w:rFonts w:asciiTheme="minorHAnsi" w:eastAsiaTheme="minorEastAsia" w:hAnsiTheme="minorHAnsi"/>
                <w:noProof/>
                <w:kern w:val="2"/>
                <w:sz w:val="24"/>
                <w:szCs w:val="24"/>
                <w:lang w:val="en-US"/>
                <w14:ligatures w14:val="standardContextual"/>
              </w:rPr>
              <w:tab/>
            </w:r>
            <w:r w:rsidRPr="00734575">
              <w:rPr>
                <w:rStyle w:val="Lienhypertexte"/>
                <w:noProof/>
              </w:rPr>
              <w:t>Responsabilité pénale du dirigeant</w:t>
            </w:r>
            <w:r>
              <w:rPr>
                <w:noProof/>
                <w:webHidden/>
              </w:rPr>
              <w:tab/>
            </w:r>
            <w:r>
              <w:rPr>
                <w:noProof/>
                <w:webHidden/>
              </w:rPr>
              <w:fldChar w:fldCharType="begin"/>
            </w:r>
            <w:r>
              <w:rPr>
                <w:noProof/>
                <w:webHidden/>
              </w:rPr>
              <w:instrText xml:space="preserve"> PAGEREF _Toc186713567 \h </w:instrText>
            </w:r>
            <w:r>
              <w:rPr>
                <w:noProof/>
                <w:webHidden/>
              </w:rPr>
            </w:r>
            <w:r>
              <w:rPr>
                <w:noProof/>
                <w:webHidden/>
              </w:rPr>
              <w:fldChar w:fldCharType="separate"/>
            </w:r>
            <w:r>
              <w:rPr>
                <w:noProof/>
                <w:webHidden/>
              </w:rPr>
              <w:t>7</w:t>
            </w:r>
            <w:r>
              <w:rPr>
                <w:noProof/>
                <w:webHidden/>
              </w:rPr>
              <w:fldChar w:fldCharType="end"/>
            </w:r>
          </w:hyperlink>
        </w:p>
        <w:p w14:paraId="7DE1F382" w14:textId="489F217F"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68" w:history="1">
            <w:r w:rsidRPr="00734575">
              <w:rPr>
                <w:rStyle w:val="Lienhypertexte"/>
                <w:noProof/>
              </w:rPr>
              <w:t>4.</w:t>
            </w:r>
            <w:r>
              <w:rPr>
                <w:rFonts w:asciiTheme="minorHAnsi" w:eastAsiaTheme="minorEastAsia" w:hAnsiTheme="minorHAnsi"/>
                <w:noProof/>
                <w:kern w:val="2"/>
                <w:sz w:val="24"/>
                <w:szCs w:val="24"/>
                <w:lang w:val="en-US"/>
                <w14:ligatures w14:val="standardContextual"/>
              </w:rPr>
              <w:tab/>
            </w:r>
            <w:r w:rsidRPr="00734575">
              <w:rPr>
                <w:rStyle w:val="Lienhypertexte"/>
                <w:noProof/>
              </w:rPr>
              <w:t>Les garanties demandées au chef d’entreprise : cautionnement, autres garanties dont fiducie</w:t>
            </w:r>
            <w:r>
              <w:rPr>
                <w:noProof/>
                <w:webHidden/>
              </w:rPr>
              <w:tab/>
            </w:r>
            <w:r>
              <w:rPr>
                <w:noProof/>
                <w:webHidden/>
              </w:rPr>
              <w:fldChar w:fldCharType="begin"/>
            </w:r>
            <w:r>
              <w:rPr>
                <w:noProof/>
                <w:webHidden/>
              </w:rPr>
              <w:instrText xml:space="preserve"> PAGEREF _Toc186713568 \h </w:instrText>
            </w:r>
            <w:r>
              <w:rPr>
                <w:noProof/>
                <w:webHidden/>
              </w:rPr>
            </w:r>
            <w:r>
              <w:rPr>
                <w:noProof/>
                <w:webHidden/>
              </w:rPr>
              <w:fldChar w:fldCharType="separate"/>
            </w:r>
            <w:r>
              <w:rPr>
                <w:noProof/>
                <w:webHidden/>
              </w:rPr>
              <w:t>9</w:t>
            </w:r>
            <w:r>
              <w:rPr>
                <w:noProof/>
                <w:webHidden/>
              </w:rPr>
              <w:fldChar w:fldCharType="end"/>
            </w:r>
          </w:hyperlink>
        </w:p>
        <w:p w14:paraId="6047BD42" w14:textId="1AABBF14"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69" w:history="1">
            <w:r w:rsidRPr="00734575">
              <w:rPr>
                <w:rStyle w:val="Lienhypertexte"/>
                <w:noProof/>
              </w:rPr>
              <w:t>A.</w:t>
            </w:r>
            <w:r>
              <w:rPr>
                <w:rFonts w:asciiTheme="minorHAnsi" w:eastAsiaTheme="minorEastAsia" w:hAnsiTheme="minorHAnsi"/>
                <w:noProof/>
                <w:kern w:val="2"/>
                <w:sz w:val="24"/>
                <w:szCs w:val="24"/>
                <w:lang w:val="en-US"/>
                <w14:ligatures w14:val="standardContextual"/>
              </w:rPr>
              <w:tab/>
            </w:r>
            <w:r w:rsidRPr="00734575">
              <w:rPr>
                <w:rStyle w:val="Lienhypertexte"/>
                <w:noProof/>
              </w:rPr>
              <w:t>Le cautionnement</w:t>
            </w:r>
            <w:r>
              <w:rPr>
                <w:noProof/>
                <w:webHidden/>
              </w:rPr>
              <w:tab/>
            </w:r>
            <w:r>
              <w:rPr>
                <w:noProof/>
                <w:webHidden/>
              </w:rPr>
              <w:fldChar w:fldCharType="begin"/>
            </w:r>
            <w:r>
              <w:rPr>
                <w:noProof/>
                <w:webHidden/>
              </w:rPr>
              <w:instrText xml:space="preserve"> PAGEREF _Toc186713569 \h </w:instrText>
            </w:r>
            <w:r>
              <w:rPr>
                <w:noProof/>
                <w:webHidden/>
              </w:rPr>
            </w:r>
            <w:r>
              <w:rPr>
                <w:noProof/>
                <w:webHidden/>
              </w:rPr>
              <w:fldChar w:fldCharType="separate"/>
            </w:r>
            <w:r>
              <w:rPr>
                <w:noProof/>
                <w:webHidden/>
              </w:rPr>
              <w:t>9</w:t>
            </w:r>
            <w:r>
              <w:rPr>
                <w:noProof/>
                <w:webHidden/>
              </w:rPr>
              <w:fldChar w:fldCharType="end"/>
            </w:r>
          </w:hyperlink>
        </w:p>
        <w:p w14:paraId="3B3470B5" w14:textId="1DCAC58E"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70" w:history="1">
            <w:r w:rsidRPr="00734575">
              <w:rPr>
                <w:rStyle w:val="Lienhypertexte"/>
                <w:noProof/>
              </w:rPr>
              <w:t>B.</w:t>
            </w:r>
            <w:r>
              <w:rPr>
                <w:rFonts w:asciiTheme="minorHAnsi" w:eastAsiaTheme="minorEastAsia" w:hAnsiTheme="minorHAnsi"/>
                <w:noProof/>
                <w:kern w:val="2"/>
                <w:sz w:val="24"/>
                <w:szCs w:val="24"/>
                <w:lang w:val="en-US"/>
                <w14:ligatures w14:val="standardContextual"/>
              </w:rPr>
              <w:tab/>
            </w:r>
            <w:r w:rsidRPr="00734575">
              <w:rPr>
                <w:rStyle w:val="Lienhypertexte"/>
                <w:noProof/>
              </w:rPr>
              <w:t>La fiducie en garantie</w:t>
            </w:r>
            <w:r>
              <w:rPr>
                <w:noProof/>
                <w:webHidden/>
              </w:rPr>
              <w:tab/>
            </w:r>
            <w:r>
              <w:rPr>
                <w:noProof/>
                <w:webHidden/>
              </w:rPr>
              <w:fldChar w:fldCharType="begin"/>
            </w:r>
            <w:r>
              <w:rPr>
                <w:noProof/>
                <w:webHidden/>
              </w:rPr>
              <w:instrText xml:space="preserve"> PAGEREF _Toc186713570 \h </w:instrText>
            </w:r>
            <w:r>
              <w:rPr>
                <w:noProof/>
                <w:webHidden/>
              </w:rPr>
            </w:r>
            <w:r>
              <w:rPr>
                <w:noProof/>
                <w:webHidden/>
              </w:rPr>
              <w:fldChar w:fldCharType="separate"/>
            </w:r>
            <w:r>
              <w:rPr>
                <w:noProof/>
                <w:webHidden/>
              </w:rPr>
              <w:t>11</w:t>
            </w:r>
            <w:r>
              <w:rPr>
                <w:noProof/>
                <w:webHidden/>
              </w:rPr>
              <w:fldChar w:fldCharType="end"/>
            </w:r>
          </w:hyperlink>
        </w:p>
        <w:p w14:paraId="65D4A086" w14:textId="0F4542D1"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71" w:history="1">
            <w:r w:rsidRPr="00734575">
              <w:rPr>
                <w:rStyle w:val="Lienhypertexte"/>
                <w:noProof/>
              </w:rPr>
              <w:t>5.</w:t>
            </w:r>
            <w:r>
              <w:rPr>
                <w:rFonts w:asciiTheme="minorHAnsi" w:eastAsiaTheme="minorEastAsia" w:hAnsiTheme="minorHAnsi"/>
                <w:noProof/>
                <w:kern w:val="2"/>
                <w:sz w:val="24"/>
                <w:szCs w:val="24"/>
                <w:lang w:val="en-US"/>
                <w14:ligatures w14:val="standardContextual"/>
              </w:rPr>
              <w:tab/>
            </w:r>
            <w:r w:rsidRPr="00734575">
              <w:rPr>
                <w:rStyle w:val="Lienhypertexte"/>
                <w:noProof/>
              </w:rPr>
              <w:t>Responsabilité en cas de procédure collective : risque d’obligation de comblement du passif social</w:t>
            </w:r>
            <w:r>
              <w:rPr>
                <w:noProof/>
                <w:webHidden/>
              </w:rPr>
              <w:tab/>
            </w:r>
            <w:r>
              <w:rPr>
                <w:noProof/>
                <w:webHidden/>
              </w:rPr>
              <w:fldChar w:fldCharType="begin"/>
            </w:r>
            <w:r>
              <w:rPr>
                <w:noProof/>
                <w:webHidden/>
              </w:rPr>
              <w:instrText xml:space="preserve"> PAGEREF _Toc186713571 \h </w:instrText>
            </w:r>
            <w:r>
              <w:rPr>
                <w:noProof/>
                <w:webHidden/>
              </w:rPr>
            </w:r>
            <w:r>
              <w:rPr>
                <w:noProof/>
                <w:webHidden/>
              </w:rPr>
              <w:fldChar w:fldCharType="separate"/>
            </w:r>
            <w:r>
              <w:rPr>
                <w:noProof/>
                <w:webHidden/>
              </w:rPr>
              <w:t>1</w:t>
            </w:r>
            <w:r>
              <w:rPr>
                <w:noProof/>
                <w:webHidden/>
              </w:rPr>
              <w:fldChar w:fldCharType="end"/>
            </w:r>
          </w:hyperlink>
        </w:p>
        <w:p w14:paraId="291F2D8A" w14:textId="7084A5A5" w:rsidR="00CB39A6" w:rsidRDefault="00CB39A6">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6713572" w:history="1">
            <w:r w:rsidRPr="00734575">
              <w:rPr>
                <w:rStyle w:val="Lienhypertexte"/>
                <w:noProof/>
              </w:rPr>
              <w:t>II.</w:t>
            </w:r>
            <w:r>
              <w:rPr>
                <w:rFonts w:asciiTheme="minorHAnsi" w:eastAsiaTheme="minorEastAsia" w:hAnsiTheme="minorHAnsi"/>
                <w:noProof/>
                <w:kern w:val="2"/>
                <w:sz w:val="24"/>
                <w:szCs w:val="24"/>
                <w:lang w:val="en-US"/>
                <w14:ligatures w14:val="standardContextual"/>
              </w:rPr>
              <w:tab/>
            </w:r>
            <w:r w:rsidRPr="00734575">
              <w:rPr>
                <w:rStyle w:val="Lienhypertexte"/>
                <w:noProof/>
              </w:rPr>
              <w:t>De la protection du chef ou dirigeant d’entreprise</w:t>
            </w:r>
            <w:r>
              <w:rPr>
                <w:noProof/>
                <w:webHidden/>
              </w:rPr>
              <w:tab/>
            </w:r>
            <w:r>
              <w:rPr>
                <w:noProof/>
                <w:webHidden/>
              </w:rPr>
              <w:fldChar w:fldCharType="begin"/>
            </w:r>
            <w:r>
              <w:rPr>
                <w:noProof/>
                <w:webHidden/>
              </w:rPr>
              <w:instrText xml:space="preserve"> PAGEREF _Toc186713572 \h </w:instrText>
            </w:r>
            <w:r>
              <w:rPr>
                <w:noProof/>
                <w:webHidden/>
              </w:rPr>
            </w:r>
            <w:r>
              <w:rPr>
                <w:noProof/>
                <w:webHidden/>
              </w:rPr>
              <w:fldChar w:fldCharType="separate"/>
            </w:r>
            <w:r>
              <w:rPr>
                <w:noProof/>
                <w:webHidden/>
              </w:rPr>
              <w:t>1</w:t>
            </w:r>
            <w:r>
              <w:rPr>
                <w:noProof/>
                <w:webHidden/>
              </w:rPr>
              <w:fldChar w:fldCharType="end"/>
            </w:r>
          </w:hyperlink>
        </w:p>
        <w:p w14:paraId="2C22E073" w14:textId="56D0F594"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73" w:history="1">
            <w:r w:rsidRPr="00734575">
              <w:rPr>
                <w:rStyle w:val="Lienhypertexte"/>
                <w:noProof/>
              </w:rPr>
              <w:t>1.</w:t>
            </w:r>
            <w:r>
              <w:rPr>
                <w:rFonts w:asciiTheme="minorHAnsi" w:eastAsiaTheme="minorEastAsia" w:hAnsiTheme="minorHAnsi"/>
                <w:noProof/>
                <w:kern w:val="2"/>
                <w:sz w:val="24"/>
                <w:szCs w:val="24"/>
                <w:lang w:val="en-US"/>
                <w14:ligatures w14:val="standardContextual"/>
              </w:rPr>
              <w:tab/>
            </w:r>
            <w:r w:rsidRPr="00734575">
              <w:rPr>
                <w:rStyle w:val="Lienhypertexte"/>
                <w:noProof/>
              </w:rPr>
              <w:t>Protection de l’entrepreneur individuel</w:t>
            </w:r>
            <w:r>
              <w:rPr>
                <w:noProof/>
                <w:webHidden/>
              </w:rPr>
              <w:tab/>
            </w:r>
            <w:r>
              <w:rPr>
                <w:noProof/>
                <w:webHidden/>
              </w:rPr>
              <w:fldChar w:fldCharType="begin"/>
            </w:r>
            <w:r>
              <w:rPr>
                <w:noProof/>
                <w:webHidden/>
              </w:rPr>
              <w:instrText xml:space="preserve"> PAGEREF _Toc186713573 \h </w:instrText>
            </w:r>
            <w:r>
              <w:rPr>
                <w:noProof/>
                <w:webHidden/>
              </w:rPr>
            </w:r>
            <w:r>
              <w:rPr>
                <w:noProof/>
                <w:webHidden/>
              </w:rPr>
              <w:fldChar w:fldCharType="separate"/>
            </w:r>
            <w:r>
              <w:rPr>
                <w:noProof/>
                <w:webHidden/>
              </w:rPr>
              <w:t>2</w:t>
            </w:r>
            <w:r>
              <w:rPr>
                <w:noProof/>
                <w:webHidden/>
              </w:rPr>
              <w:fldChar w:fldCharType="end"/>
            </w:r>
          </w:hyperlink>
        </w:p>
        <w:p w14:paraId="51096309" w14:textId="7D4923F3"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74" w:history="1">
            <w:r w:rsidRPr="00734575">
              <w:rPr>
                <w:rStyle w:val="Lienhypertexte"/>
                <w:noProof/>
              </w:rPr>
              <w:t>2.</w:t>
            </w:r>
            <w:r>
              <w:rPr>
                <w:rFonts w:asciiTheme="minorHAnsi" w:eastAsiaTheme="minorEastAsia" w:hAnsiTheme="minorHAnsi"/>
                <w:noProof/>
                <w:kern w:val="2"/>
                <w:sz w:val="24"/>
                <w:szCs w:val="24"/>
                <w:lang w:val="en-US"/>
                <w14:ligatures w14:val="standardContextual"/>
              </w:rPr>
              <w:tab/>
            </w:r>
            <w:r w:rsidRPr="00734575">
              <w:rPr>
                <w:rStyle w:val="Lienhypertexte"/>
                <w:noProof/>
              </w:rPr>
              <w:t>Optimisation de la protection à travers le choix de la forme sociétaire</w:t>
            </w:r>
            <w:r>
              <w:rPr>
                <w:noProof/>
                <w:webHidden/>
              </w:rPr>
              <w:tab/>
            </w:r>
            <w:r>
              <w:rPr>
                <w:noProof/>
                <w:webHidden/>
              </w:rPr>
              <w:fldChar w:fldCharType="begin"/>
            </w:r>
            <w:r>
              <w:rPr>
                <w:noProof/>
                <w:webHidden/>
              </w:rPr>
              <w:instrText xml:space="preserve"> PAGEREF _Toc186713574 \h </w:instrText>
            </w:r>
            <w:r>
              <w:rPr>
                <w:noProof/>
                <w:webHidden/>
              </w:rPr>
            </w:r>
            <w:r>
              <w:rPr>
                <w:noProof/>
                <w:webHidden/>
              </w:rPr>
              <w:fldChar w:fldCharType="separate"/>
            </w:r>
            <w:r>
              <w:rPr>
                <w:noProof/>
                <w:webHidden/>
              </w:rPr>
              <w:t>1</w:t>
            </w:r>
            <w:r>
              <w:rPr>
                <w:noProof/>
                <w:webHidden/>
              </w:rPr>
              <w:fldChar w:fldCharType="end"/>
            </w:r>
          </w:hyperlink>
        </w:p>
        <w:p w14:paraId="70292024" w14:textId="2A58C058"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75" w:history="1">
            <w:r w:rsidRPr="00734575">
              <w:rPr>
                <w:rStyle w:val="Lienhypertexte"/>
                <w:noProof/>
              </w:rPr>
              <w:t>A.</w:t>
            </w:r>
            <w:r>
              <w:rPr>
                <w:rFonts w:asciiTheme="minorHAnsi" w:eastAsiaTheme="minorEastAsia" w:hAnsiTheme="minorHAnsi"/>
                <w:noProof/>
                <w:kern w:val="2"/>
                <w:sz w:val="24"/>
                <w:szCs w:val="24"/>
                <w:lang w:val="en-US"/>
                <w14:ligatures w14:val="standardContextual"/>
              </w:rPr>
              <w:tab/>
            </w:r>
            <w:r w:rsidRPr="00734575">
              <w:rPr>
                <w:rStyle w:val="Lienhypertexte"/>
                <w:noProof/>
              </w:rPr>
              <w:t>L’impact du choix de la forme juridique sur la responsabilité financière du dirigeant</w:t>
            </w:r>
            <w:r>
              <w:rPr>
                <w:noProof/>
                <w:webHidden/>
              </w:rPr>
              <w:tab/>
            </w:r>
            <w:r>
              <w:rPr>
                <w:noProof/>
                <w:webHidden/>
              </w:rPr>
              <w:fldChar w:fldCharType="begin"/>
            </w:r>
            <w:r>
              <w:rPr>
                <w:noProof/>
                <w:webHidden/>
              </w:rPr>
              <w:instrText xml:space="preserve"> PAGEREF _Toc186713575 \h </w:instrText>
            </w:r>
            <w:r>
              <w:rPr>
                <w:noProof/>
                <w:webHidden/>
              </w:rPr>
            </w:r>
            <w:r>
              <w:rPr>
                <w:noProof/>
                <w:webHidden/>
              </w:rPr>
              <w:fldChar w:fldCharType="separate"/>
            </w:r>
            <w:r>
              <w:rPr>
                <w:noProof/>
                <w:webHidden/>
              </w:rPr>
              <w:t>1</w:t>
            </w:r>
            <w:r>
              <w:rPr>
                <w:noProof/>
                <w:webHidden/>
              </w:rPr>
              <w:fldChar w:fldCharType="end"/>
            </w:r>
          </w:hyperlink>
        </w:p>
        <w:p w14:paraId="74C2F70B" w14:textId="171B4452"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76" w:history="1">
            <w:r w:rsidRPr="00734575">
              <w:rPr>
                <w:rStyle w:val="Lienhypertexte"/>
                <w:noProof/>
              </w:rPr>
              <w:t>3.</w:t>
            </w:r>
            <w:r>
              <w:rPr>
                <w:rFonts w:asciiTheme="minorHAnsi" w:eastAsiaTheme="minorEastAsia" w:hAnsiTheme="minorHAnsi"/>
                <w:noProof/>
                <w:kern w:val="2"/>
                <w:sz w:val="24"/>
                <w:szCs w:val="24"/>
                <w:lang w:val="en-US"/>
                <w14:ligatures w14:val="standardContextual"/>
              </w:rPr>
              <w:tab/>
            </w:r>
            <w:r w:rsidRPr="00734575">
              <w:rPr>
                <w:rStyle w:val="Lienhypertexte"/>
                <w:noProof/>
              </w:rPr>
              <w:t>Association du conjoint et conséquences patrimoniales du divorce</w:t>
            </w:r>
            <w:r>
              <w:rPr>
                <w:noProof/>
                <w:webHidden/>
              </w:rPr>
              <w:tab/>
            </w:r>
            <w:r>
              <w:rPr>
                <w:noProof/>
                <w:webHidden/>
              </w:rPr>
              <w:fldChar w:fldCharType="begin"/>
            </w:r>
            <w:r>
              <w:rPr>
                <w:noProof/>
                <w:webHidden/>
              </w:rPr>
              <w:instrText xml:space="preserve"> PAGEREF _Toc186713576 \h </w:instrText>
            </w:r>
            <w:r>
              <w:rPr>
                <w:noProof/>
                <w:webHidden/>
              </w:rPr>
            </w:r>
            <w:r>
              <w:rPr>
                <w:noProof/>
                <w:webHidden/>
              </w:rPr>
              <w:fldChar w:fldCharType="separate"/>
            </w:r>
            <w:r>
              <w:rPr>
                <w:noProof/>
                <w:webHidden/>
              </w:rPr>
              <w:t>2</w:t>
            </w:r>
            <w:r>
              <w:rPr>
                <w:noProof/>
                <w:webHidden/>
              </w:rPr>
              <w:fldChar w:fldCharType="end"/>
            </w:r>
          </w:hyperlink>
        </w:p>
        <w:p w14:paraId="768C4579" w14:textId="5EEC96D3"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77" w:history="1">
            <w:r w:rsidRPr="00734575">
              <w:rPr>
                <w:rStyle w:val="Lienhypertexte"/>
                <w:noProof/>
              </w:rPr>
              <w:t>A.</w:t>
            </w:r>
            <w:r>
              <w:rPr>
                <w:rFonts w:asciiTheme="minorHAnsi" w:eastAsiaTheme="minorEastAsia" w:hAnsiTheme="minorHAnsi"/>
                <w:noProof/>
                <w:kern w:val="2"/>
                <w:sz w:val="24"/>
                <w:szCs w:val="24"/>
                <w:lang w:val="en-US"/>
                <w14:ligatures w14:val="standardContextual"/>
              </w:rPr>
              <w:tab/>
            </w:r>
            <w:r w:rsidRPr="00734575">
              <w:rPr>
                <w:rStyle w:val="Lienhypertexte"/>
                <w:noProof/>
              </w:rPr>
              <w:t>Sous le régime de la communauté de biens réduite aux acquêts</w:t>
            </w:r>
            <w:r>
              <w:rPr>
                <w:noProof/>
                <w:webHidden/>
              </w:rPr>
              <w:tab/>
            </w:r>
            <w:r>
              <w:rPr>
                <w:noProof/>
                <w:webHidden/>
              </w:rPr>
              <w:fldChar w:fldCharType="begin"/>
            </w:r>
            <w:r>
              <w:rPr>
                <w:noProof/>
                <w:webHidden/>
              </w:rPr>
              <w:instrText xml:space="preserve"> PAGEREF _Toc186713577 \h </w:instrText>
            </w:r>
            <w:r>
              <w:rPr>
                <w:noProof/>
                <w:webHidden/>
              </w:rPr>
            </w:r>
            <w:r>
              <w:rPr>
                <w:noProof/>
                <w:webHidden/>
              </w:rPr>
              <w:fldChar w:fldCharType="separate"/>
            </w:r>
            <w:r>
              <w:rPr>
                <w:noProof/>
                <w:webHidden/>
              </w:rPr>
              <w:t>2</w:t>
            </w:r>
            <w:r>
              <w:rPr>
                <w:noProof/>
                <w:webHidden/>
              </w:rPr>
              <w:fldChar w:fldCharType="end"/>
            </w:r>
          </w:hyperlink>
        </w:p>
        <w:p w14:paraId="7E52231F" w14:textId="14370C96"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78" w:history="1">
            <w:r w:rsidRPr="00734575">
              <w:rPr>
                <w:rStyle w:val="Lienhypertexte"/>
                <w:noProof/>
              </w:rPr>
              <w:t>B.</w:t>
            </w:r>
            <w:r>
              <w:rPr>
                <w:rFonts w:asciiTheme="minorHAnsi" w:eastAsiaTheme="minorEastAsia" w:hAnsiTheme="minorHAnsi"/>
                <w:noProof/>
                <w:kern w:val="2"/>
                <w:sz w:val="24"/>
                <w:szCs w:val="24"/>
                <w:lang w:val="en-US"/>
                <w14:ligatures w14:val="standardContextual"/>
              </w:rPr>
              <w:tab/>
            </w:r>
            <w:r w:rsidRPr="00734575">
              <w:rPr>
                <w:rStyle w:val="Lienhypertexte"/>
                <w:noProof/>
              </w:rPr>
              <w:t>Sous le régime de la séparation</w:t>
            </w:r>
            <w:r>
              <w:rPr>
                <w:noProof/>
                <w:webHidden/>
              </w:rPr>
              <w:tab/>
            </w:r>
            <w:r>
              <w:rPr>
                <w:noProof/>
                <w:webHidden/>
              </w:rPr>
              <w:fldChar w:fldCharType="begin"/>
            </w:r>
            <w:r>
              <w:rPr>
                <w:noProof/>
                <w:webHidden/>
              </w:rPr>
              <w:instrText xml:space="preserve"> PAGEREF _Toc186713578 \h </w:instrText>
            </w:r>
            <w:r>
              <w:rPr>
                <w:noProof/>
                <w:webHidden/>
              </w:rPr>
            </w:r>
            <w:r>
              <w:rPr>
                <w:noProof/>
                <w:webHidden/>
              </w:rPr>
              <w:fldChar w:fldCharType="separate"/>
            </w:r>
            <w:r>
              <w:rPr>
                <w:noProof/>
                <w:webHidden/>
              </w:rPr>
              <w:t>3</w:t>
            </w:r>
            <w:r>
              <w:rPr>
                <w:noProof/>
                <w:webHidden/>
              </w:rPr>
              <w:fldChar w:fldCharType="end"/>
            </w:r>
          </w:hyperlink>
        </w:p>
        <w:p w14:paraId="301A5951" w14:textId="1D3B3762"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79" w:history="1">
            <w:r w:rsidRPr="00734575">
              <w:rPr>
                <w:rStyle w:val="Lienhypertexte"/>
                <w:noProof/>
              </w:rPr>
              <w:t>C.</w:t>
            </w:r>
            <w:r>
              <w:rPr>
                <w:rFonts w:asciiTheme="minorHAnsi" w:eastAsiaTheme="minorEastAsia" w:hAnsiTheme="minorHAnsi"/>
                <w:noProof/>
                <w:kern w:val="2"/>
                <w:sz w:val="24"/>
                <w:szCs w:val="24"/>
                <w:lang w:val="en-US"/>
                <w14:ligatures w14:val="standardContextual"/>
              </w:rPr>
              <w:tab/>
            </w:r>
            <w:r w:rsidRPr="00734575">
              <w:rPr>
                <w:rStyle w:val="Lienhypertexte"/>
                <w:noProof/>
              </w:rPr>
              <w:t>Sous le régime de la participation aux acquêts</w:t>
            </w:r>
            <w:r>
              <w:rPr>
                <w:noProof/>
                <w:webHidden/>
              </w:rPr>
              <w:tab/>
            </w:r>
            <w:r>
              <w:rPr>
                <w:noProof/>
                <w:webHidden/>
              </w:rPr>
              <w:fldChar w:fldCharType="begin"/>
            </w:r>
            <w:r>
              <w:rPr>
                <w:noProof/>
                <w:webHidden/>
              </w:rPr>
              <w:instrText xml:space="preserve"> PAGEREF _Toc186713579 \h </w:instrText>
            </w:r>
            <w:r>
              <w:rPr>
                <w:noProof/>
                <w:webHidden/>
              </w:rPr>
            </w:r>
            <w:r>
              <w:rPr>
                <w:noProof/>
                <w:webHidden/>
              </w:rPr>
              <w:fldChar w:fldCharType="separate"/>
            </w:r>
            <w:r>
              <w:rPr>
                <w:noProof/>
                <w:webHidden/>
              </w:rPr>
              <w:t>3</w:t>
            </w:r>
            <w:r>
              <w:rPr>
                <w:noProof/>
                <w:webHidden/>
              </w:rPr>
              <w:fldChar w:fldCharType="end"/>
            </w:r>
          </w:hyperlink>
        </w:p>
        <w:p w14:paraId="7DE15868" w14:textId="55DE8372" w:rsidR="00CB39A6" w:rsidRDefault="00CB39A6">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13580" w:history="1">
            <w:r w:rsidRPr="00734575">
              <w:rPr>
                <w:rStyle w:val="Lienhypertexte"/>
                <w:noProof/>
              </w:rPr>
              <w:t>D.</w:t>
            </w:r>
            <w:r>
              <w:rPr>
                <w:rFonts w:asciiTheme="minorHAnsi" w:eastAsiaTheme="minorEastAsia" w:hAnsiTheme="minorHAnsi"/>
                <w:noProof/>
                <w:kern w:val="2"/>
                <w:sz w:val="24"/>
                <w:szCs w:val="24"/>
                <w:lang w:val="en-US"/>
                <w14:ligatures w14:val="standardContextual"/>
              </w:rPr>
              <w:tab/>
            </w:r>
            <w:r w:rsidRPr="00734575">
              <w:rPr>
                <w:rStyle w:val="Lienhypertexte"/>
                <w:noProof/>
              </w:rPr>
              <w:t>Sous le régime de la communauté universelle</w:t>
            </w:r>
            <w:r>
              <w:rPr>
                <w:noProof/>
                <w:webHidden/>
              </w:rPr>
              <w:tab/>
            </w:r>
            <w:r>
              <w:rPr>
                <w:noProof/>
                <w:webHidden/>
              </w:rPr>
              <w:fldChar w:fldCharType="begin"/>
            </w:r>
            <w:r>
              <w:rPr>
                <w:noProof/>
                <w:webHidden/>
              </w:rPr>
              <w:instrText xml:space="preserve"> PAGEREF _Toc186713580 \h </w:instrText>
            </w:r>
            <w:r>
              <w:rPr>
                <w:noProof/>
                <w:webHidden/>
              </w:rPr>
            </w:r>
            <w:r>
              <w:rPr>
                <w:noProof/>
                <w:webHidden/>
              </w:rPr>
              <w:fldChar w:fldCharType="separate"/>
            </w:r>
            <w:r>
              <w:rPr>
                <w:noProof/>
                <w:webHidden/>
              </w:rPr>
              <w:t>4</w:t>
            </w:r>
            <w:r>
              <w:rPr>
                <w:noProof/>
                <w:webHidden/>
              </w:rPr>
              <w:fldChar w:fldCharType="end"/>
            </w:r>
          </w:hyperlink>
        </w:p>
        <w:p w14:paraId="490981C5" w14:textId="3992EE2C" w:rsidR="00CB39A6" w:rsidRDefault="00CB39A6">
          <w:pPr>
            <w:pStyle w:val="TM3"/>
            <w:rPr>
              <w:rFonts w:asciiTheme="minorHAnsi" w:eastAsiaTheme="minorEastAsia" w:hAnsiTheme="minorHAnsi"/>
              <w:noProof/>
              <w:kern w:val="2"/>
              <w:sz w:val="24"/>
              <w:szCs w:val="24"/>
              <w:lang w:val="en-US"/>
              <w14:ligatures w14:val="standardContextual"/>
            </w:rPr>
          </w:pPr>
          <w:hyperlink w:anchor="_Toc186713581" w:history="1">
            <w:r w:rsidRPr="00734575">
              <w:rPr>
                <w:rStyle w:val="Lienhypertexte"/>
                <w:noProof/>
              </w:rPr>
              <w:t>4.</w:t>
            </w:r>
            <w:r>
              <w:rPr>
                <w:rFonts w:asciiTheme="minorHAnsi" w:eastAsiaTheme="minorEastAsia" w:hAnsiTheme="minorHAnsi"/>
                <w:noProof/>
                <w:kern w:val="2"/>
                <w:sz w:val="24"/>
                <w:szCs w:val="24"/>
                <w:lang w:val="en-US"/>
                <w14:ligatures w14:val="standardContextual"/>
              </w:rPr>
              <w:tab/>
            </w:r>
            <w:r w:rsidRPr="00734575">
              <w:rPr>
                <w:rStyle w:val="Lienhypertexte"/>
                <w:noProof/>
              </w:rPr>
              <w:t>Changement de régime matrimonial et évitement de l’apurement du passif par le conjoint : une procédure risquée</w:t>
            </w:r>
            <w:r>
              <w:rPr>
                <w:noProof/>
                <w:webHidden/>
              </w:rPr>
              <w:tab/>
            </w:r>
            <w:r>
              <w:rPr>
                <w:noProof/>
                <w:webHidden/>
              </w:rPr>
              <w:fldChar w:fldCharType="begin"/>
            </w:r>
            <w:r>
              <w:rPr>
                <w:noProof/>
                <w:webHidden/>
              </w:rPr>
              <w:instrText xml:space="preserve"> PAGEREF _Toc186713581 \h </w:instrText>
            </w:r>
            <w:r>
              <w:rPr>
                <w:noProof/>
                <w:webHidden/>
              </w:rPr>
            </w:r>
            <w:r>
              <w:rPr>
                <w:noProof/>
                <w:webHidden/>
              </w:rPr>
              <w:fldChar w:fldCharType="separate"/>
            </w:r>
            <w:r>
              <w:rPr>
                <w:noProof/>
                <w:webHidden/>
              </w:rPr>
              <w:t>4</w:t>
            </w:r>
            <w:r>
              <w:rPr>
                <w:noProof/>
                <w:webHidden/>
              </w:rPr>
              <w:fldChar w:fldCharType="end"/>
            </w:r>
          </w:hyperlink>
        </w:p>
        <w:p w14:paraId="14D974F6" w14:textId="0CC4434D" w:rsidR="00B8067C" w:rsidRDefault="00A24546">
          <w:r>
            <w:fldChar w:fldCharType="end"/>
          </w:r>
        </w:p>
      </w:sdtContent>
    </w:sdt>
    <w:p w14:paraId="7568B045" w14:textId="77777777" w:rsidR="00B8067C" w:rsidRDefault="00B8067C"/>
    <w:p w14:paraId="06DF9035" w14:textId="77777777" w:rsidR="001E7313" w:rsidRDefault="00B42117" w:rsidP="001E7313">
      <w:pPr>
        <w:rPr>
          <w:rFonts w:eastAsia="Times New Roman"/>
          <w:color w:val="2F5496" w:themeColor="accent1" w:themeShade="BF"/>
          <w:lang w:eastAsia="fr-FR"/>
        </w:rPr>
      </w:pPr>
      <w:r>
        <w:rPr>
          <w:rFonts w:eastAsia="Times New Roman"/>
          <w:color w:val="2F5496" w:themeColor="accent1" w:themeShade="BF"/>
          <w:lang w:eastAsia="fr-FR"/>
        </w:rPr>
        <w:br w:type="page"/>
      </w:r>
    </w:p>
    <w:p w14:paraId="6798BBEB" w14:textId="553F48AB" w:rsidR="001E7313" w:rsidRDefault="007C4B23" w:rsidP="001E7313">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6944" behindDoc="1" locked="0" layoutInCell="1" allowOverlap="1" wp14:anchorId="77D3A4A8" wp14:editId="78ACE69A">
                <wp:simplePos x="0" y="0"/>
                <wp:positionH relativeFrom="column">
                  <wp:posOffset>-895350</wp:posOffset>
                </wp:positionH>
                <wp:positionV relativeFrom="paragraph">
                  <wp:posOffset>-895350</wp:posOffset>
                </wp:positionV>
                <wp:extent cx="15163800" cy="10668000"/>
                <wp:effectExtent l="0" t="0" r="19050" b="19050"/>
                <wp:wrapNone/>
                <wp:docPr id="1486402526" name="Rectangle 5"/>
                <wp:cNvGraphicFramePr/>
                <a:graphic xmlns:a="http://schemas.openxmlformats.org/drawingml/2006/main">
                  <a:graphicData uri="http://schemas.microsoft.com/office/word/2010/wordprocessingShape">
                    <wps:wsp>
                      <wps:cNvSpPr/>
                      <wps:spPr>
                        <a:xfrm>
                          <a:off x="0" y="0"/>
                          <a:ext cx="15163800" cy="106680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97D9F3" id="Rectangle 5" o:spid="_x0000_s1026" style="position:absolute;margin-left:-70.5pt;margin-top:-70.5pt;width:1194pt;height:840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" fillcolor="#4472c4 [3204]" strokecolor="#09101d [484]" strokeweight="1pt"/>
            </w:pict>
          </mc:Fallback>
        </mc:AlternateContent>
      </w:r>
    </w:p>
    <w:p w14:paraId="3FE4DCEE" w14:textId="77777777" w:rsidR="001E7313" w:rsidRDefault="001E7313" w:rsidP="001E7313">
      <w:pPr>
        <w:rPr>
          <w:rFonts w:eastAsia="Times New Roman"/>
          <w:color w:val="2F5496" w:themeColor="accent1" w:themeShade="BF"/>
          <w:lang w:eastAsia="fr-FR"/>
        </w:rPr>
      </w:pPr>
    </w:p>
    <w:p w14:paraId="753EE233" w14:textId="77777777" w:rsidR="001E7313" w:rsidRDefault="001E7313" w:rsidP="001E7313">
      <w:pPr>
        <w:rPr>
          <w:rFonts w:eastAsia="Times New Roman"/>
          <w:color w:val="2F5496" w:themeColor="accent1" w:themeShade="BF"/>
          <w:lang w:eastAsia="fr-FR"/>
        </w:rPr>
      </w:pPr>
    </w:p>
    <w:p w14:paraId="1C11740F" w14:textId="77777777" w:rsidR="001E7313" w:rsidRDefault="001E7313" w:rsidP="001E7313">
      <w:pPr>
        <w:rPr>
          <w:rFonts w:eastAsia="Times New Roman"/>
          <w:color w:val="2F5496" w:themeColor="accent1" w:themeShade="BF"/>
          <w:lang w:eastAsia="fr-FR"/>
        </w:rPr>
      </w:pPr>
    </w:p>
    <w:p w14:paraId="2194603E" w14:textId="77777777" w:rsidR="001E7313" w:rsidRDefault="001E7313" w:rsidP="001E7313">
      <w:pPr>
        <w:rPr>
          <w:rFonts w:eastAsia="Times New Roman"/>
          <w:color w:val="2F5496" w:themeColor="accent1" w:themeShade="BF"/>
          <w:lang w:eastAsia="fr-FR"/>
        </w:rPr>
      </w:pPr>
    </w:p>
    <w:p w14:paraId="428724D9" w14:textId="77777777" w:rsidR="001E7313" w:rsidRDefault="001E7313" w:rsidP="001E7313">
      <w:pPr>
        <w:rPr>
          <w:rFonts w:eastAsia="Times New Roman"/>
          <w:color w:val="2F5496" w:themeColor="accent1" w:themeShade="BF"/>
          <w:lang w:eastAsia="fr-FR"/>
        </w:rPr>
      </w:pPr>
    </w:p>
    <w:p w14:paraId="12F4B14A" w14:textId="77777777" w:rsidR="001E7313" w:rsidRDefault="001E7313" w:rsidP="001E7313">
      <w:pPr>
        <w:rPr>
          <w:rFonts w:eastAsia="Times New Roman"/>
          <w:color w:val="2F5496" w:themeColor="accent1" w:themeShade="BF"/>
          <w:lang w:eastAsia="fr-FR"/>
        </w:rPr>
      </w:pPr>
    </w:p>
    <w:p w14:paraId="15BA313D" w14:textId="77777777" w:rsidR="001E7313" w:rsidRDefault="001E7313" w:rsidP="001E7313">
      <w:pPr>
        <w:rPr>
          <w:rFonts w:eastAsia="Times New Roman"/>
          <w:color w:val="2F5496" w:themeColor="accent1" w:themeShade="BF"/>
          <w:lang w:eastAsia="fr-FR"/>
        </w:rPr>
      </w:pPr>
    </w:p>
    <w:p w14:paraId="4680DA2F" w14:textId="77777777" w:rsidR="001E7313" w:rsidRDefault="001E7313" w:rsidP="001E7313">
      <w:pPr>
        <w:rPr>
          <w:rFonts w:eastAsia="Times New Roman"/>
          <w:color w:val="2F5496" w:themeColor="accent1" w:themeShade="BF"/>
          <w:lang w:eastAsia="fr-FR"/>
        </w:rPr>
      </w:pPr>
    </w:p>
    <w:p w14:paraId="4C3F3C07" w14:textId="22FFB2F3" w:rsidR="001E7313" w:rsidRPr="001E7313" w:rsidRDefault="00CE73AE" w:rsidP="001E7313">
      <w:pPr>
        <w:pStyle w:val="Titre2"/>
      </w:pPr>
      <w:r w:rsidRPr="001E7313">
        <w:t xml:space="preserve"> </w:t>
      </w:r>
      <w:bookmarkStart w:id="0" w:name="_Toc186713559"/>
      <w:r w:rsidRPr="001E7313">
        <w:t>Les responsabilités du chef ou dirigeant d’entreprise</w:t>
      </w:r>
      <w:bookmarkEnd w:id="0"/>
    </w:p>
    <w:p w14:paraId="5D91DB6C" w14:textId="77777777" w:rsidR="001E7313" w:rsidRDefault="001E7313" w:rsidP="001E7313">
      <w:pPr>
        <w:pStyle w:val="CGPC-elearning"/>
        <w:rPr>
          <w:rFonts w:eastAsiaTheme="majorEastAsia"/>
          <w:color w:val="3A5D9C"/>
          <w:sz w:val="44"/>
          <w:szCs w:val="26"/>
          <w:bdr w:val="none" w:sz="0" w:space="0" w:color="auto" w:frame="1"/>
        </w:rPr>
      </w:pPr>
      <w:r>
        <w:br w:type="page"/>
      </w:r>
    </w:p>
    <w:p w14:paraId="4DFD60A0" w14:textId="77777777" w:rsidR="00CE73AE" w:rsidRPr="001E7313" w:rsidRDefault="00CE73AE" w:rsidP="001E7313"/>
    <w:p w14:paraId="30EEC737" w14:textId="5D562371" w:rsidR="001E7313" w:rsidRDefault="00CE73AE" w:rsidP="001E7313">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drawing>
          <wp:inline distT="0" distB="0" distL="0" distR="0" wp14:anchorId="6760C30C" wp14:editId="135B0B73">
            <wp:extent cx="12225686" cy="6889531"/>
            <wp:effectExtent l="533400" t="457200" r="804545" b="807085"/>
            <wp:docPr id="389033988" name="Image 28" descr="Une image contenant personne, fournitures de bureau, écriture manuscrite, Article de bur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988" name="Image 28" descr="Une image contenant personne, fournitures de bureau, écriture manuscrite, Article de bureau&#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49539" cy="6902973"/>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4C9A99D1" w14:textId="77777777" w:rsidR="001E7313" w:rsidRDefault="001E7313" w:rsidP="001E7313">
      <w:pPr>
        <w:pStyle w:val="CGPC-elearning"/>
        <w:rPr>
          <w:rFonts w:eastAsia="Times New Roman"/>
          <w:lang w:eastAsia="fr-FR"/>
        </w:rPr>
      </w:pPr>
      <w:r>
        <w:br w:type="page"/>
      </w:r>
    </w:p>
    <w:p w14:paraId="52929B21" w14:textId="77777777" w:rsidR="00CE73AE" w:rsidRDefault="00CE73AE" w:rsidP="00CE73AE">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35D4752" w14:textId="77777777" w:rsidR="00CE73AE" w:rsidRDefault="00CE73AE" w:rsidP="00B82605">
      <w:pPr>
        <w:pStyle w:val="Titre3"/>
        <w:rPr>
          <w:szCs w:val="36"/>
        </w:rPr>
      </w:pPr>
      <w:bookmarkStart w:id="1" w:name="_Toc186713560"/>
      <w:r>
        <w:t>Responsabilité de l’entrepreneur individuel et de l’EIRL</w:t>
      </w:r>
      <w:bookmarkEnd w:id="1"/>
    </w:p>
    <w:p w14:paraId="3C85F36D" w14:textId="77777777" w:rsidR="003219C6" w:rsidRPr="001E7313" w:rsidRDefault="003219C6" w:rsidP="001E7313"/>
    <w:p w14:paraId="79D85FE1" w14:textId="77777777" w:rsidR="00CE73AE" w:rsidRDefault="00CE73AE" w:rsidP="001E7313">
      <w:pPr>
        <w:pStyle w:val="Titre4"/>
      </w:pPr>
      <w:bookmarkStart w:id="2" w:name="_Toc186713561"/>
      <w:r>
        <w:t>Le nouveau statut d’entrepreneur individuel</w:t>
      </w:r>
      <w:bookmarkEnd w:id="2"/>
    </w:p>
    <w:p w14:paraId="7CE33F48" w14:textId="77777777" w:rsidR="00CE73AE" w:rsidRDefault="00CE73AE" w:rsidP="00B82605">
      <w:pPr>
        <w:pStyle w:val="CGPC-elearning"/>
      </w:pPr>
      <w:r>
        <w:t>Le statut de l’entrepreneur individuel (EI) défini par la loi du 14 février 2022 dite loi API, applicable depuis le 15 mai 2022, opère une distinction entre le patrimoine professionnel de l’EI (ses biens, droits, obligations et sûretés qui servent à son ou ses activités professionnelles indépendantes) et son patrimoine personnel (le « reste », non utile à l’activité ou aux activités professionnelles de l’EI).</w:t>
      </w:r>
    </w:p>
    <w:p w14:paraId="34FFB9CC" w14:textId="77777777" w:rsidR="00CE73AE" w:rsidRDefault="00CE73AE" w:rsidP="00B82605">
      <w:pPr>
        <w:pStyle w:val="CGPC-elearning"/>
      </w:pPr>
      <w:r>
        <w:t>Seul le patrimoine professionnel de l’EI est engagé pour répondre des dettes contractées pour les besoins des activités professionnelles indépendantes (les créanciers ainsi concernés ne peuvent saisir que les éléments du patrimoine professionnel).</w:t>
      </w:r>
    </w:p>
    <w:p w14:paraId="51879EB3" w14:textId="77777777" w:rsidR="00CE73AE" w:rsidRDefault="00CE73AE" w:rsidP="00B82605">
      <w:pPr>
        <w:pStyle w:val="CGPC-elearning"/>
      </w:pPr>
      <w:r>
        <w:t>L’EI peut cependant donner en garantie à un créancier à titre professionnel certains biens personnels. Il peut également, à l’occasion d’un engagement professionnel spécifique, renoncer à la protection de son patrimoine personnel, pour le seul créancier vis-à-vis duquel il conclut cet engagement, et pour la durée de celui-ci.</w:t>
      </w:r>
    </w:p>
    <w:p w14:paraId="5AE01FD4" w14:textId="77777777" w:rsidR="00CE73AE" w:rsidRDefault="00CE73AE" w:rsidP="00B82605">
      <w:pPr>
        <w:pStyle w:val="CGPC-elearning"/>
        <w:numPr>
          <w:ilvl w:val="0"/>
          <w:numId w:val="26"/>
        </w:numPr>
        <w:rPr>
          <w:rStyle w:val="Accentuation"/>
          <w:color w:val="666666"/>
          <w:sz w:val="21"/>
          <w:szCs w:val="21"/>
        </w:rPr>
      </w:pPr>
      <w:r>
        <w:rPr>
          <w:rStyle w:val="lev"/>
          <w:i/>
          <w:iCs/>
          <w:color w:val="666666"/>
          <w:sz w:val="21"/>
          <w:szCs w:val="21"/>
          <w:u w:val="single"/>
        </w:rPr>
        <w:t>Attention :</w:t>
      </w:r>
      <w:r>
        <w:t> </w:t>
      </w:r>
      <w:r>
        <w:rPr>
          <w:rStyle w:val="Accentuation"/>
          <w:color w:val="666666"/>
          <w:sz w:val="21"/>
          <w:szCs w:val="21"/>
        </w:rPr>
        <w:t>la loi prévoit des exceptions à la séparation entre patrimoine professionnel et personnel en matières fiscale et sociale, notamment pour le paiement de l’impôt sur le revenu et de certaines contributions et cotisations sociales. Les créances ainsi concernées sont susceptibles d’être recouvrées sur l’un ou l’autre des patrimoines ou les deux.</w:t>
      </w:r>
    </w:p>
    <w:p w14:paraId="6331E9F2" w14:textId="77777777" w:rsidR="003219C6" w:rsidRDefault="003219C6" w:rsidP="00B82605">
      <w:pPr>
        <w:pStyle w:val="CGPC-elearning"/>
      </w:pPr>
    </w:p>
    <w:p w14:paraId="0CE8D244" w14:textId="77777777" w:rsidR="00CE73AE" w:rsidRDefault="00CE73AE" w:rsidP="001E7313">
      <w:pPr>
        <w:pStyle w:val="Titre4"/>
      </w:pPr>
      <w:bookmarkStart w:id="3" w:name="_Toc186713562"/>
      <w:r>
        <w:t>Les personnes concernées par le nouveau statut d’entrepreneur individuel</w:t>
      </w:r>
      <w:bookmarkEnd w:id="3"/>
    </w:p>
    <w:p w14:paraId="5AD73D03" w14:textId="77777777" w:rsidR="00CE73AE" w:rsidRDefault="00CE73AE" w:rsidP="00B82605">
      <w:pPr>
        <w:pStyle w:val="CGPC-elearning"/>
      </w:pPr>
      <w:r>
        <w:t>Depuis le 15 mai 2022, toute personne physique qui exerce en son nom propre une ou plusieurs activités professionnelles indépendantes (que l’activité soit de nature commerciale, artisanale, agricole, libérale réglementée ou non) est un entrepreneur individuel (EI).</w:t>
      </w:r>
    </w:p>
    <w:p w14:paraId="0E4C92C8" w14:textId="77777777" w:rsidR="00CE73AE" w:rsidRDefault="00CE73AE" w:rsidP="00B82605">
      <w:pPr>
        <w:pStyle w:val="CGPC-elearning"/>
      </w:pPr>
      <w:r>
        <w:t>Ce nouveau statut de l’EI s’applique sans formalité, par le seul effet de la loi, à tous les EI, y compris celles déjà en activité avant le 15 mai 2022.</w:t>
      </w:r>
    </w:p>
    <w:p w14:paraId="2AA7AB58" w14:textId="77777777" w:rsidR="00CE73AE" w:rsidRDefault="00CE73AE" w:rsidP="00B82605">
      <w:pPr>
        <w:pStyle w:val="CGPC-elearning"/>
      </w:pPr>
      <w:r>
        <w:t>Les micro-entrepreneurs, exerçant juridiquement comme des EI, sont concernés par ce nouveau régime.</w:t>
      </w:r>
    </w:p>
    <w:p w14:paraId="7D651AA5" w14:textId="77777777" w:rsidR="00CE73AE" w:rsidRPr="003219C6" w:rsidRDefault="00CE73AE" w:rsidP="001E7313">
      <w:pPr>
        <w:pStyle w:val="Titre4"/>
      </w:pPr>
      <w:bookmarkStart w:id="4" w:name="_Toc186713563"/>
      <w:r w:rsidRPr="003219C6">
        <w:t>Les modalités d’application</w:t>
      </w:r>
      <w:bookmarkEnd w:id="4"/>
    </w:p>
    <w:p w14:paraId="2ABC1751" w14:textId="77777777" w:rsidR="00CE73AE" w:rsidRDefault="00CE73AE" w:rsidP="00B82605">
      <w:pPr>
        <w:pStyle w:val="CGPC-elearning"/>
      </w:pPr>
      <w:r>
        <w:t>La distinction entre le patrimoine professionnel et personnel qui rend l’entrepreneur individuel responsable par défaut sur son seul patrimoine professionnel ne s’applique qu’aux créances nées à l’occasion de son activité professionnelle à compter du 15 mai 2022.</w:t>
      </w:r>
    </w:p>
    <w:p w14:paraId="0CD73D25" w14:textId="77777777" w:rsidR="00CE73AE" w:rsidRDefault="00CE73AE" w:rsidP="00B82605">
      <w:pPr>
        <w:pStyle w:val="CGPC-elearning"/>
      </w:pPr>
      <w:r>
        <w:t>Ce nouveau régime est pleinement applicable aux nouveaux entrepreneurs individuels et aux entrepreneurs individuels déjà en activité, sans formalité supplémentaire.</w:t>
      </w:r>
    </w:p>
    <w:p w14:paraId="38516931" w14:textId="77777777" w:rsidR="003219C6" w:rsidRDefault="003219C6" w:rsidP="00B82605">
      <w:pPr>
        <w:pStyle w:val="CGPC-elearning"/>
      </w:pPr>
    </w:p>
    <w:p w14:paraId="263D51D9" w14:textId="77777777" w:rsidR="00CE73AE" w:rsidRDefault="00CE73AE" w:rsidP="00B82605">
      <w:pPr>
        <w:pStyle w:val="Titre3"/>
      </w:pPr>
      <w:bookmarkStart w:id="5" w:name="_Toc186713564"/>
      <w:r>
        <w:t>L’entrepreneur individuel à responsabilité limitée (EIRL)</w:t>
      </w:r>
      <w:bookmarkEnd w:id="5"/>
    </w:p>
    <w:p w14:paraId="1979AB88" w14:textId="77777777" w:rsidR="00CE73AE" w:rsidRPr="00CE73AE" w:rsidRDefault="00CE73AE" w:rsidP="00CE73AE">
      <w:pPr>
        <w:rPr>
          <w:lang w:eastAsia="fr-FR"/>
        </w:rPr>
      </w:pPr>
    </w:p>
    <w:p w14:paraId="6BB62EA2" w14:textId="77777777" w:rsidR="00CE73AE" w:rsidRDefault="00CE73AE" w:rsidP="00B82605">
      <w:pPr>
        <w:pStyle w:val="CGPC-elearning"/>
      </w:pPr>
      <w:r>
        <w:rPr>
          <w:noProof/>
          <w:lang w:eastAsia="fr-FR"/>
        </w:rPr>
        <w:drawing>
          <wp:anchor distT="0" distB="0" distL="114300" distR="114300" simplePos="0" relativeHeight="251650560" behindDoc="1" locked="0" layoutInCell="1" allowOverlap="1" wp14:anchorId="363CA535" wp14:editId="4F9AA4F1">
            <wp:simplePos x="0" y="0"/>
            <wp:positionH relativeFrom="column">
              <wp:posOffset>-5138</wp:posOffset>
            </wp:positionH>
            <wp:positionV relativeFrom="paragraph">
              <wp:posOffset>-5253</wp:posOffset>
            </wp:positionV>
            <wp:extent cx="2232660" cy="1258570"/>
            <wp:effectExtent l="0" t="0" r="0" b="0"/>
            <wp:wrapTight wrapText="bothSides">
              <wp:wrapPolygon edited="0">
                <wp:start x="0" y="0"/>
                <wp:lineTo x="0" y="21251"/>
                <wp:lineTo x="21379" y="21251"/>
                <wp:lineTo x="21379" y="0"/>
                <wp:lineTo x="0" y="0"/>
              </wp:wrapPolygon>
            </wp:wrapTight>
            <wp:docPr id="1888349969" name="Image 26" descr="Une image contenant Visage humain, personne, habits,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49969" name="Image 26" descr="Une image contenant Visage humain, personne, habits, intérieur&#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32660" cy="1258570"/>
                    </a:xfrm>
                    <a:prstGeom prst="rect">
                      <a:avLst/>
                    </a:prstGeom>
                    <a:noFill/>
                    <a:ln>
                      <a:noFill/>
                    </a:ln>
                  </pic:spPr>
                </pic:pic>
              </a:graphicData>
            </a:graphic>
          </wp:anchor>
        </w:drawing>
      </w:r>
      <w:r>
        <w:t>Depuis le 16 février 2022, il n’est plus possible de choisir le statut d’entrepreneur individuel à responsabilité limitée (EIRL).</w:t>
      </w:r>
    </w:p>
    <w:p w14:paraId="4727FFD3" w14:textId="77777777" w:rsidR="00CE73AE" w:rsidRDefault="00CE73AE" w:rsidP="00B82605">
      <w:pPr>
        <w:pStyle w:val="CGPC-elearning"/>
      </w:pPr>
      <w:r>
        <w:t>Les EIRL existantes avant l’entrée en vigueur de la loi peuvent continuer d’exercer leur activité sous ce régime et continuent d’être régies par les règles qui préexistaient à la réforme du statut de l’entrepreneur individuel.</w:t>
      </w:r>
    </w:p>
    <w:p w14:paraId="648E2EF9" w14:textId="77777777" w:rsidR="00CE73AE" w:rsidRDefault="00CE73AE" w:rsidP="00B82605">
      <w:pPr>
        <w:pStyle w:val="CGPC-elearning"/>
      </w:pPr>
      <w:r>
        <w:t>En revanche, certaines restrictions s’imposent :</w:t>
      </w:r>
    </w:p>
    <w:p w14:paraId="3DACE0D2" w14:textId="77777777" w:rsidR="00CE73AE" w:rsidRDefault="003219C6" w:rsidP="00B82605">
      <w:pPr>
        <w:pStyle w:val="CGPC-elearning"/>
      </w:pPr>
      <w:r>
        <w:t xml:space="preserve">- </w:t>
      </w:r>
      <w:r w:rsidR="00CE73AE">
        <w:t>depuis le 16 février 2022, en cas de transfert du patrimoine affecté de l’EIRL, l’affectation n’est maintenue que si le bénéficiaire du transfert est lui-même un EIRL ou une personne physique n’exerçant aucune activité professionnelle indépendante ; dans le cas contraire, et notamment si le patrimoine affecté est transféré à un entrepreneur individuel (ou à une personne morale), l’affectation n’est pas maintenue ;</w:t>
      </w:r>
    </w:p>
    <w:p w14:paraId="2C39B461" w14:textId="77777777" w:rsidR="00CE73AE" w:rsidRDefault="003219C6" w:rsidP="00B82605">
      <w:pPr>
        <w:pStyle w:val="CGPC-elearning"/>
      </w:pPr>
      <w:r>
        <w:t xml:space="preserve">- </w:t>
      </w:r>
      <w:r w:rsidR="00CE73AE">
        <w:t>depuis le 15 août 2022, les héritiers ou ayants droit d’un EIRL décédé ne peuvent plus opter pour la reprise du patrimoine affecté en vue de poursuivre l’activité.</w:t>
      </w:r>
    </w:p>
    <w:p w14:paraId="3CC9A9C8" w14:textId="77777777" w:rsidR="003219C6" w:rsidRDefault="003219C6" w:rsidP="00B82605">
      <w:pPr>
        <w:pStyle w:val="CGPC-elearning"/>
      </w:pPr>
    </w:p>
    <w:p w14:paraId="1F832E82" w14:textId="77777777" w:rsidR="00CE73AE" w:rsidRDefault="00CE73AE" w:rsidP="00B82605">
      <w:pPr>
        <w:pStyle w:val="Titre3"/>
        <w:rPr>
          <w:szCs w:val="36"/>
        </w:rPr>
      </w:pPr>
      <w:bookmarkStart w:id="6" w:name="_Toc186713565"/>
      <w:r>
        <w:t>Les responsabilités du dirigeant de société</w:t>
      </w:r>
      <w:bookmarkEnd w:id="6"/>
    </w:p>
    <w:p w14:paraId="069BE455" w14:textId="77777777" w:rsidR="00CE73AE" w:rsidRDefault="00CE73AE"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5933FB6" w14:textId="77777777" w:rsidR="00CE73AE" w:rsidRDefault="00CE73AE" w:rsidP="00B82605">
      <w:pPr>
        <w:pStyle w:val="CGPC-elearning"/>
      </w:pPr>
      <w:r>
        <w:t xml:space="preserve">En principe, le dirigeant d’une société n’est pas personnellement responsable à l’égard des tiers (fournisseurs, clients…) des actes qu’il accomplit au nom et pour le compte de celle-ci. </w:t>
      </w:r>
      <w:r w:rsidR="003219C6">
        <w:br/>
      </w:r>
      <w:r>
        <w:t>En effet, c’est la société qui est engagée par ces actes et qui en répond, quitte à se retourner ensuite contre son dirigeant.</w:t>
      </w:r>
    </w:p>
    <w:p w14:paraId="1CFFF0C0" w14:textId="77777777" w:rsidR="00CE73AE" w:rsidRDefault="00CE73AE" w:rsidP="00B82605">
      <w:pPr>
        <w:pStyle w:val="CGPC-elearning"/>
      </w:pPr>
      <w:r>
        <w:t>Toutefois, dans certains cas exceptionnels, la responsabilité personnelle du dirigeant peut être mise en jeu, celui-ci étant alors tenu d’indemniser sur ses propres deniers la victime du préjudice causé par sa faute.</w:t>
      </w:r>
    </w:p>
    <w:p w14:paraId="21C3C21B" w14:textId="77777777" w:rsidR="003219C6" w:rsidRDefault="00CE73AE" w:rsidP="00B82605">
      <w:pPr>
        <w:pStyle w:val="CGPC-elearning"/>
      </w:pPr>
      <w:r>
        <w:t xml:space="preserve">Tel est le cas lorsqu’il a commis une faute dite « séparable » de ses fonctions, c’est-à-dire une faute commise intentionnellement et d’une particulière gravité incompatible avec l’exercice normal de ses fonctions de dirigeant. </w:t>
      </w:r>
    </w:p>
    <w:p w14:paraId="6DFA3CCE" w14:textId="77777777" w:rsidR="00CE73AE" w:rsidRDefault="00CE73AE" w:rsidP="00B82605">
      <w:pPr>
        <w:pStyle w:val="CGPC-elearning"/>
      </w:pPr>
      <w:r>
        <w:t>Les fautes commises peuvent entraîner :</w:t>
      </w:r>
    </w:p>
    <w:p w14:paraId="33FB911D" w14:textId="77777777" w:rsidR="00CE73AE" w:rsidRDefault="003219C6" w:rsidP="00B82605">
      <w:pPr>
        <w:pStyle w:val="CGPC-elearning"/>
      </w:pPr>
      <w:r>
        <w:t xml:space="preserve">- </w:t>
      </w:r>
      <w:r w:rsidR="00CE73AE">
        <w:t>la responsabilité civile du dirigeant ;</w:t>
      </w:r>
    </w:p>
    <w:p w14:paraId="54FADD20" w14:textId="77777777" w:rsidR="00CE73AE" w:rsidRDefault="003219C6" w:rsidP="00B82605">
      <w:pPr>
        <w:pStyle w:val="CGPC-elearning"/>
      </w:pPr>
      <w:r>
        <w:t>- s</w:t>
      </w:r>
      <w:r w:rsidR="00CE73AE">
        <w:t>a responsabilité pénale.</w:t>
      </w:r>
    </w:p>
    <w:p w14:paraId="3701FB6D" w14:textId="77777777" w:rsidR="00CE73AE" w:rsidRDefault="00CE73AE" w:rsidP="001E7313">
      <w:pPr>
        <w:pStyle w:val="Titre4"/>
        <w:numPr>
          <w:ilvl w:val="0"/>
          <w:numId w:val="15"/>
        </w:numPr>
      </w:pPr>
      <w:bookmarkStart w:id="7" w:name="_Toc186713566"/>
      <w:r>
        <w:lastRenderedPageBreak/>
        <w:t>Responsabilité civile du dirigeant</w:t>
      </w:r>
      <w:bookmarkEnd w:id="7"/>
    </w:p>
    <w:p w14:paraId="62176687" w14:textId="77777777" w:rsidR="00CE73AE" w:rsidRPr="00CE73AE" w:rsidRDefault="00CE73AE" w:rsidP="00B82605">
      <w:pPr>
        <w:pStyle w:val="CGPC-elearning"/>
      </w:pPr>
      <w:r w:rsidRPr="00CE73AE">
        <w:t>La responsabilité civile du dirigeant est engagée sur le fondement des articles 1240 et suivants du Code civil, s’il est prouvé que le dirigeant a commis une faute ayant causé un préjudice à l’entreprise elle-même ou à un tiers.</w:t>
      </w:r>
    </w:p>
    <w:p w14:paraId="36C53265" w14:textId="77777777" w:rsidR="00CE73AE" w:rsidRPr="00CE73AE" w:rsidRDefault="00CE73AE" w:rsidP="00B82605">
      <w:pPr>
        <w:pStyle w:val="CGPC-elearning"/>
      </w:pPr>
      <w:r w:rsidRPr="00CE73AE">
        <w:t>Le cas échéant, le dirigeant peut être condamné au versement de dommages et intérêts à hauteur du préjudice causé. Si plusieurs dirigeants ont participé à l’infraction, leur responsabilité solidaire sera engagée. Le tribunal déterminera la part contributive de chacun dans la réparation du dommage.</w:t>
      </w:r>
    </w:p>
    <w:p w14:paraId="462B0F01" w14:textId="77777777" w:rsidR="003219C6" w:rsidRDefault="003219C6" w:rsidP="00B82605">
      <w:pPr>
        <w:pStyle w:val="CGPC-elearning"/>
      </w:pPr>
    </w:p>
    <w:p w14:paraId="7CEB69AF" w14:textId="77777777" w:rsidR="00CE73AE" w:rsidRPr="00CE73AE" w:rsidRDefault="00CE73AE" w:rsidP="00B82605">
      <w:pPr>
        <w:pStyle w:val="CGPC-elearning"/>
      </w:pPr>
      <w:r w:rsidRPr="00CE73AE">
        <w:t>La responsabilité civile peut être engagée :</w:t>
      </w:r>
    </w:p>
    <w:p w14:paraId="6E4253FC" w14:textId="77777777" w:rsidR="00CE73AE" w:rsidRPr="00CE73AE" w:rsidRDefault="003219C6" w:rsidP="00B82605">
      <w:pPr>
        <w:pStyle w:val="CGPC-elearning"/>
      </w:pPr>
      <w:r>
        <w:t xml:space="preserve">- </w:t>
      </w:r>
      <w:r w:rsidR="00CE73AE" w:rsidRPr="00CE73AE">
        <w:t>par </w:t>
      </w:r>
      <w:r w:rsidR="00CE73AE" w:rsidRPr="00CE73AE">
        <w:rPr>
          <w:rStyle w:val="lev"/>
          <w:b w:val="0"/>
          <w:bCs/>
        </w:rPr>
        <w:t>un associé</w:t>
      </w:r>
      <w:r w:rsidR="00CE73AE" w:rsidRPr="00CE73AE">
        <w:t> agissant à titre individuel </w:t>
      </w:r>
      <w:r w:rsidR="00CE73AE" w:rsidRPr="00CE73AE">
        <w:rPr>
          <w:rStyle w:val="Accentuation"/>
          <w:i w:val="0"/>
          <w:iCs w:val="0"/>
        </w:rPr>
        <w:t>(</w:t>
      </w:r>
      <w:r w:rsidR="00CE73AE" w:rsidRPr="00CE73AE">
        <w:rPr>
          <w:rStyle w:val="lev"/>
          <w:b w:val="0"/>
          <w:bCs/>
        </w:rPr>
        <w:t>par exemple,</w:t>
      </w:r>
      <w:r w:rsidR="00CE73AE" w:rsidRPr="00CE73AE">
        <w:rPr>
          <w:rStyle w:val="Accentuation"/>
          <w:i w:val="0"/>
          <w:iCs w:val="0"/>
        </w:rPr>
        <w:t> dans l’hypothèse où ce dernier aurait volontairement été écarté de la distribution de dividendes et aurait ainsi subi un préjudice économique)</w:t>
      </w:r>
      <w:r w:rsidR="00CE73AE" w:rsidRPr="00CE73AE">
        <w:t> ;</w:t>
      </w:r>
    </w:p>
    <w:p w14:paraId="019CDCAB" w14:textId="77777777" w:rsidR="00CE73AE" w:rsidRPr="00CE73AE" w:rsidRDefault="003219C6" w:rsidP="00B82605">
      <w:pPr>
        <w:pStyle w:val="CGPC-elearning"/>
      </w:pPr>
      <w:r>
        <w:t xml:space="preserve">- </w:t>
      </w:r>
      <w:r w:rsidR="00CE73AE" w:rsidRPr="00CE73AE">
        <w:t>par l</w:t>
      </w:r>
      <w:r w:rsidR="00CE73AE" w:rsidRPr="00CE73AE">
        <w:rPr>
          <w:rStyle w:val="lev"/>
          <w:b w:val="0"/>
          <w:bCs/>
        </w:rPr>
        <w:t>a société elle-même</w:t>
      </w:r>
      <w:r w:rsidR="00CE73AE" w:rsidRPr="00CE73AE">
        <w:t> </w:t>
      </w:r>
      <w:r w:rsidR="00CE73AE" w:rsidRPr="00CE73AE">
        <w:rPr>
          <w:rStyle w:val="Accentuation"/>
          <w:i w:val="0"/>
          <w:iCs w:val="0"/>
        </w:rPr>
        <w:t>(atteinte à son image par exemple)</w:t>
      </w:r>
      <w:r w:rsidR="00CE73AE" w:rsidRPr="00CE73AE">
        <w:t> ;</w:t>
      </w:r>
    </w:p>
    <w:p w14:paraId="79CA31CF" w14:textId="77777777" w:rsidR="00CE73AE" w:rsidRPr="00CE73AE" w:rsidRDefault="003219C6" w:rsidP="00B82605">
      <w:pPr>
        <w:pStyle w:val="CGPC-elearning"/>
      </w:pPr>
      <w:r>
        <w:t xml:space="preserve">- </w:t>
      </w:r>
      <w:r w:rsidR="00CE73AE" w:rsidRPr="00CE73AE">
        <w:t>par </w:t>
      </w:r>
      <w:r w:rsidR="00CE73AE" w:rsidRPr="00CE73AE">
        <w:rPr>
          <w:rStyle w:val="lev"/>
          <w:b w:val="0"/>
          <w:bCs/>
        </w:rPr>
        <w:t>un tiers</w:t>
      </w:r>
      <w:r w:rsidR="00CE73AE" w:rsidRPr="00CE73AE">
        <w:t> </w:t>
      </w:r>
      <w:r w:rsidR="00CE73AE" w:rsidRPr="00CE73AE">
        <w:rPr>
          <w:rStyle w:val="Accentuation"/>
          <w:i w:val="0"/>
          <w:iCs w:val="0"/>
        </w:rPr>
        <w:t>(l’action d’un tiers se retrouve généralement lorsque le dirigeant commet une faute détachable de ses fonctions, ce qui engendre l’impossibilité d’exercer un recours en justice contre la société. Dans cette dernière hypothèse, la faute commise doit être intentionnelle, d’une exceptionnelle gravité et incompatible avec l’exercice normal des fonctions sociales)</w:t>
      </w:r>
      <w:r w:rsidR="00CE73AE" w:rsidRPr="00CE73AE">
        <w:t>.</w:t>
      </w:r>
    </w:p>
    <w:p w14:paraId="5CE5BA0D" w14:textId="77777777" w:rsidR="003219C6" w:rsidRDefault="003219C6" w:rsidP="00B82605">
      <w:pPr>
        <w:pStyle w:val="CGPC-elearning"/>
      </w:pPr>
    </w:p>
    <w:p w14:paraId="741F60A8" w14:textId="77777777" w:rsidR="00CE73AE" w:rsidRPr="00CE73AE" w:rsidRDefault="00CE73AE" w:rsidP="00B82605">
      <w:pPr>
        <w:pStyle w:val="CGPC-elearning"/>
      </w:pPr>
      <w:r w:rsidRPr="00CE73AE">
        <w:t>La responsabilité civile du dirigeant d’entreprise peut être mise en cause pour plusieurs types de fautes, parmi lesquelles :</w:t>
      </w:r>
    </w:p>
    <w:p w14:paraId="72CC085C" w14:textId="77777777" w:rsidR="00CE73AE" w:rsidRPr="00CE73AE" w:rsidRDefault="003219C6" w:rsidP="00B82605">
      <w:pPr>
        <w:pStyle w:val="CGPC-elearning"/>
      </w:pPr>
      <w:r>
        <w:t xml:space="preserve">- </w:t>
      </w:r>
      <w:r w:rsidR="00CE73AE" w:rsidRPr="00CE73AE">
        <w:t>les fautes de gestion (</w:t>
      </w:r>
      <w:r w:rsidR="00CE73AE" w:rsidRPr="00CE73AE">
        <w:rPr>
          <w:rStyle w:val="lev"/>
          <w:b w:val="0"/>
          <w:bCs/>
        </w:rPr>
        <w:t>exemples :</w:t>
      </w:r>
      <w:r w:rsidR="00CE73AE" w:rsidRPr="00CE73AE">
        <w:rPr>
          <w:rStyle w:val="Accentuation"/>
          <w:i w:val="0"/>
          <w:iCs w:val="0"/>
        </w:rPr>
        <w:t> le gérant qui fait garantir une dette personnelle par la société ; le dirigeant d’une société qui détourne la clientèle de celle-ci au profit de son entreprise personnelle</w:t>
      </w:r>
      <w:r w:rsidR="00CE73AE" w:rsidRPr="00CE73AE">
        <w:t>) ;</w:t>
      </w:r>
    </w:p>
    <w:p w14:paraId="1869B107" w14:textId="77777777" w:rsidR="00CE73AE" w:rsidRPr="00CE73AE" w:rsidRDefault="003219C6" w:rsidP="00B82605">
      <w:pPr>
        <w:pStyle w:val="CGPC-elearning"/>
      </w:pPr>
      <w:r>
        <w:t xml:space="preserve">- </w:t>
      </w:r>
      <w:r w:rsidR="00CE73AE" w:rsidRPr="00CE73AE">
        <w:t>le non-respect des statuts (</w:t>
      </w:r>
      <w:r w:rsidR="00CE73AE" w:rsidRPr="00CE73AE">
        <w:rPr>
          <w:rStyle w:val="lev"/>
          <w:b w:val="0"/>
          <w:bCs/>
        </w:rPr>
        <w:t>exemples :</w:t>
      </w:r>
      <w:r w:rsidR="00CE73AE" w:rsidRPr="00CE73AE">
        <w:rPr>
          <w:rStyle w:val="Accentuation"/>
          <w:i w:val="0"/>
          <w:iCs w:val="0"/>
        </w:rPr>
        <w:t> lorsqu’il y a un dépassement d’autorité caractérisé, en cas de conflit d’intérêts, ou encore en cas d’augmentation de capital non autorisée ou lorsque le dirigeant qui conclut un acte contraire aux statuts cause un préjudice à la société</w:t>
      </w:r>
      <w:r w:rsidR="00CE73AE" w:rsidRPr="00CE73AE">
        <w:t>) ;</w:t>
      </w:r>
    </w:p>
    <w:p w14:paraId="29B919E8" w14:textId="77777777" w:rsidR="00CE73AE" w:rsidRPr="00CE73AE" w:rsidRDefault="003219C6" w:rsidP="00B82605">
      <w:pPr>
        <w:pStyle w:val="CGPC-elearning"/>
      </w:pPr>
      <w:r>
        <w:t xml:space="preserve">- </w:t>
      </w:r>
      <w:r w:rsidR="00CE73AE" w:rsidRPr="00CE73AE">
        <w:t>le non-respect des lois ou règlements s’appliquant aux entreprises (</w:t>
      </w:r>
      <w:r w:rsidR="00CE73AE" w:rsidRPr="00CE73AE">
        <w:rPr>
          <w:rStyle w:val="Accentuation"/>
          <w:i w:val="0"/>
          <w:iCs w:val="0"/>
        </w:rPr>
        <w:t>le fait générateur de cette responsabilité n’est autre que la simple irrégularité de forme et de fond, dont l’existence suffit à caractériser la faute du dirigeant</w:t>
      </w:r>
      <w:r w:rsidR="00CE73AE" w:rsidRPr="00CE73AE">
        <w:t>) ;</w:t>
      </w:r>
    </w:p>
    <w:p w14:paraId="3D23B43F" w14:textId="77777777" w:rsidR="00CE73AE" w:rsidRPr="00CE73AE" w:rsidRDefault="003219C6" w:rsidP="00B82605">
      <w:pPr>
        <w:pStyle w:val="CGPC-elearning"/>
      </w:pPr>
      <w:r>
        <w:t xml:space="preserve">- </w:t>
      </w:r>
      <w:r w:rsidR="00CE73AE" w:rsidRPr="00CE73AE">
        <w:t>les infractions aux obligations fiscales (</w:t>
      </w:r>
      <w:r w:rsidR="00CE73AE" w:rsidRPr="00CE73AE">
        <w:rPr>
          <w:rStyle w:val="lev"/>
          <w:b w:val="0"/>
          <w:bCs/>
        </w:rPr>
        <w:t>exemples :</w:t>
      </w:r>
      <w:r w:rsidR="00CE73AE" w:rsidRPr="00CE73AE">
        <w:t> </w:t>
      </w:r>
      <w:r w:rsidR="00CE73AE" w:rsidRPr="00CE73AE">
        <w:rPr>
          <w:rStyle w:val="Accentuation"/>
          <w:i w:val="0"/>
          <w:iCs w:val="0"/>
        </w:rPr>
        <w:t>minoration des déclarations de TVA, défaut de paiement de taxes…</w:t>
      </w:r>
      <w:r w:rsidR="00CE73AE" w:rsidRPr="00CE73AE">
        <w:t>) ;</w:t>
      </w:r>
    </w:p>
    <w:p w14:paraId="1DC69BFF" w14:textId="77777777" w:rsidR="00CE73AE" w:rsidRDefault="003219C6" w:rsidP="00B82605">
      <w:pPr>
        <w:pStyle w:val="CGPC-elearning"/>
      </w:pPr>
      <w:r>
        <w:t xml:space="preserve">- une </w:t>
      </w:r>
      <w:r w:rsidR="00CE73AE" w:rsidRPr="00CE73AE">
        <w:t>concurrence déloyale à l’égard de sa propre société (</w:t>
      </w:r>
      <w:r w:rsidR="00CE73AE" w:rsidRPr="00CE73AE">
        <w:rPr>
          <w:rStyle w:val="lev"/>
          <w:b w:val="0"/>
          <w:bCs/>
        </w:rPr>
        <w:t>exemple :</w:t>
      </w:r>
      <w:r w:rsidR="00CE73AE" w:rsidRPr="00CE73AE">
        <w:t> </w:t>
      </w:r>
      <w:r w:rsidR="00CE73AE" w:rsidRPr="00CE73AE">
        <w:rPr>
          <w:rStyle w:val="Accentuation"/>
          <w:i w:val="0"/>
          <w:iCs w:val="0"/>
        </w:rPr>
        <w:t>interdiction de négocier en qualité de gérant d’une autre société dans le même domaine</w:t>
      </w:r>
      <w:r w:rsidR="00CE73AE" w:rsidRPr="00CE73AE">
        <w:t>).</w:t>
      </w:r>
    </w:p>
    <w:p w14:paraId="675B4792" w14:textId="77777777" w:rsidR="003219C6" w:rsidRPr="00CE73AE" w:rsidRDefault="003219C6" w:rsidP="00B82605">
      <w:pPr>
        <w:pStyle w:val="CGPC-elearning"/>
      </w:pPr>
    </w:p>
    <w:p w14:paraId="33D5A640" w14:textId="77777777" w:rsidR="00CE73AE" w:rsidRPr="00CE73AE" w:rsidRDefault="00747929" w:rsidP="00B82605">
      <w:pPr>
        <w:pStyle w:val="CGPC-elearning"/>
      </w:pPr>
      <w:r>
        <w:pict w14:anchorId="7AB67E59">
          <v:shape id="Image 25" o:spid="_x0000_i1027" type="#_x0000_t75" alt="Une image contenant jaune, ligne, Graphique, conception&#10;&#10;Description générée automatiquement" style="width:15.15pt;height:15.15pt;visibility:visible;mso-wrap-style:square">
            <v:imagedata r:id="rId13" o:title="Une image contenant jaune, ligne, Graphique, conception&#10;&#10;Description générée automatiquement"/>
          </v:shape>
        </w:pict>
      </w:r>
      <w:r w:rsidR="00CE73AE" w:rsidRPr="00CE73AE">
        <w:t> </w:t>
      </w:r>
      <w:r w:rsidR="00CE73AE" w:rsidRPr="00CE73AE">
        <w:rPr>
          <w:rStyle w:val="lev"/>
          <w:b w:val="0"/>
          <w:bCs/>
        </w:rPr>
        <w:t>Nota :</w:t>
      </w:r>
      <w:r w:rsidR="00CE73AE" w:rsidRPr="00CE73AE">
        <w:t> </w:t>
      </w:r>
      <w:r w:rsidR="00CE73AE" w:rsidRPr="00CE73AE">
        <w:rPr>
          <w:rStyle w:val="Accentuation"/>
          <w:i w:val="0"/>
          <w:iCs w:val="0"/>
        </w:rPr>
        <w:t>La responsabilité civile du dirigeant d’entreprise n’est pas mise en cause dans les cas suivants :</w:t>
      </w:r>
    </w:p>
    <w:p w14:paraId="2657A28B" w14:textId="77777777" w:rsidR="00CE73AE" w:rsidRPr="00CE73AE" w:rsidRDefault="00CE73AE" w:rsidP="00B82605">
      <w:pPr>
        <w:pStyle w:val="CGPC-elearning"/>
        <w:numPr>
          <w:ilvl w:val="0"/>
          <w:numId w:val="27"/>
        </w:numPr>
      </w:pPr>
      <w:r w:rsidRPr="00CE73AE">
        <w:rPr>
          <w:rStyle w:val="Accentuation"/>
          <w:i w:val="0"/>
          <w:iCs w:val="0"/>
        </w:rPr>
        <w:t>si le dirigeant d’entreprise peut prouver qu’il n’a pas pu influencer le comportement de l’auteur de l’infraction ;</w:t>
      </w:r>
    </w:p>
    <w:p w14:paraId="0B03784E" w14:textId="77777777" w:rsidR="00CE73AE" w:rsidRDefault="00CE73AE" w:rsidP="00B82605">
      <w:pPr>
        <w:pStyle w:val="CGPC-elearning"/>
        <w:numPr>
          <w:ilvl w:val="0"/>
          <w:numId w:val="27"/>
        </w:numPr>
        <w:rPr>
          <w:rStyle w:val="Accentuation"/>
          <w:i w:val="0"/>
          <w:iCs w:val="0"/>
        </w:rPr>
      </w:pPr>
      <w:r w:rsidRPr="00CE73AE">
        <w:rPr>
          <w:rStyle w:val="Accentuation"/>
          <w:i w:val="0"/>
          <w:iCs w:val="0"/>
        </w:rPr>
        <w:lastRenderedPageBreak/>
        <w:t>s’il a délégué ses pouvoirs à une personne pourvue de la compétence, de l’autorité et des moyens nécessaires pour faire respecter la réglementation.</w:t>
      </w:r>
    </w:p>
    <w:p w14:paraId="1F2AF898" w14:textId="77777777" w:rsidR="003219C6" w:rsidRPr="00CE73AE" w:rsidRDefault="003219C6" w:rsidP="00B82605">
      <w:pPr>
        <w:pStyle w:val="CGPC-elearning"/>
      </w:pPr>
    </w:p>
    <w:p w14:paraId="4E8F91CB" w14:textId="77777777" w:rsidR="00CE73AE" w:rsidRDefault="00CE73AE" w:rsidP="001E7313">
      <w:pPr>
        <w:pStyle w:val="Titre4"/>
      </w:pPr>
      <w:bookmarkStart w:id="8" w:name="_Toc186713567"/>
      <w:r>
        <w:t>Responsabilité pénale du dirigeant</w:t>
      </w:r>
      <w:bookmarkEnd w:id="8"/>
    </w:p>
    <w:p w14:paraId="74D909E3" w14:textId="1C17A765" w:rsidR="00B82605" w:rsidRPr="00B82605" w:rsidRDefault="00B82605" w:rsidP="00CB39A6">
      <w:pPr>
        <w:pStyle w:val="Titre5"/>
      </w:pPr>
      <w:r w:rsidRPr="00B82605">
        <w:t>Le champ de la responsabilité pénale</w:t>
      </w:r>
    </w:p>
    <w:p w14:paraId="455D2DF2" w14:textId="77777777" w:rsidR="00CE73AE" w:rsidRPr="00B82605" w:rsidRDefault="00CE73AE" w:rsidP="00B82605">
      <w:pPr>
        <w:pStyle w:val="CGPC-elearning"/>
      </w:pPr>
      <w:r w:rsidRPr="00B82605">
        <w:t>Par principe, le chef d’entreprise est pénalement responsable pour les fautes qu’il a commis</w:t>
      </w:r>
      <w:r w:rsidR="00B82605" w:rsidRPr="00B82605">
        <w:t>es</w:t>
      </w:r>
      <w:r w:rsidRPr="00B82605">
        <w:t xml:space="preserve"> personnellement, en tant qu’auteur direct et personnel de l’infraction. </w:t>
      </w:r>
      <w:r w:rsidR="00B82605" w:rsidRPr="00B82605">
        <w:br/>
      </w:r>
      <w:r w:rsidRPr="00B82605">
        <w:t>Cependant, le chef d’entreprise est également responsable pénalement des actes fautifs de ses salariés dans l’exercice de leurs fonctions, en tant que personne tierce à l’infraction, n’étant ni l’auteur, ni complice.</w:t>
      </w:r>
    </w:p>
    <w:p w14:paraId="22B866B8" w14:textId="77777777" w:rsidR="00B82605" w:rsidRPr="00B82605" w:rsidRDefault="00CE73AE" w:rsidP="00B82605">
      <w:pPr>
        <w:pStyle w:val="CGPC-elearning"/>
      </w:pPr>
      <w:r w:rsidRPr="00B82605">
        <w:t xml:space="preserve">Ce principe de responsabilité pénale du dirigeant ne s’applique pas lorsqu’il a eu recours à la pratique de la délégation de pouvoir. </w:t>
      </w:r>
    </w:p>
    <w:p w14:paraId="17497777" w14:textId="77777777" w:rsidR="00B82605" w:rsidRPr="00B82605" w:rsidRDefault="00CE73AE" w:rsidP="00B82605">
      <w:pPr>
        <w:pStyle w:val="CGPC-elearning"/>
      </w:pPr>
      <w:r w:rsidRPr="00B82605">
        <w:t xml:space="preserve">En effet, </w:t>
      </w:r>
      <w:r w:rsidR="00B82605" w:rsidRPr="00B82605">
        <w:t xml:space="preserve">la délégation </w:t>
      </w:r>
      <w:r w:rsidRPr="00B82605">
        <w:t xml:space="preserve">consistant en un dessaisissement d’une partie de son pouvoir au profit du délégataire, le dirigeant ne peut pas être tenu responsable pour des faits qui ne ressortent pas de son pouvoir. </w:t>
      </w:r>
    </w:p>
    <w:p w14:paraId="7878C2CE" w14:textId="77777777" w:rsidR="00CE73AE" w:rsidRPr="00B82605" w:rsidRDefault="00CE73AE" w:rsidP="00B82605">
      <w:pPr>
        <w:pStyle w:val="CGPC-elearning"/>
      </w:pPr>
      <w:r w:rsidRPr="00B82605">
        <w:t>Encore faut-il que la délégation de pouvoirs soit valable.</w:t>
      </w:r>
    </w:p>
    <w:p w14:paraId="4BD649FA" w14:textId="77777777" w:rsidR="00CE73AE" w:rsidRPr="00B82605" w:rsidRDefault="00B82605" w:rsidP="00B82605">
      <w:pPr>
        <w:pStyle w:val="CGPC-elearning"/>
      </w:pPr>
      <w:r w:rsidRPr="00B82605">
        <w:br/>
      </w:r>
      <w:r w:rsidR="00CE73AE" w:rsidRPr="00B82605">
        <w:t>La responsabilité pénale du dirigeant d’entreprise peut être mise en cause pour plusieurs types d’infractions, comme :</w:t>
      </w:r>
    </w:p>
    <w:p w14:paraId="76E0E072" w14:textId="77777777" w:rsidR="00CE73AE" w:rsidRPr="00B82605" w:rsidRDefault="00B82605" w:rsidP="00B82605">
      <w:pPr>
        <w:pStyle w:val="CGPC-elearning"/>
      </w:pPr>
      <w:r w:rsidRPr="00B82605">
        <w:t xml:space="preserve">- </w:t>
      </w:r>
      <w:r w:rsidR="00CE73AE" w:rsidRPr="00B82605">
        <w:t xml:space="preserve">la fraude fiscale </w:t>
      </w:r>
      <w:r w:rsidR="00CE73AE" w:rsidRPr="00B82605">
        <w:rPr>
          <w:b/>
        </w:rPr>
        <w:t>(</w:t>
      </w:r>
      <w:r w:rsidR="00CE73AE" w:rsidRPr="00B82605">
        <w:rPr>
          <w:rStyle w:val="lev"/>
          <w:i/>
          <w:iCs/>
          <w:sz w:val="21"/>
          <w:szCs w:val="21"/>
          <w:u w:val="single"/>
        </w:rPr>
        <w:t>exemple :</w:t>
      </w:r>
      <w:r w:rsidR="00CE73AE" w:rsidRPr="00B82605">
        <w:rPr>
          <w:b/>
        </w:rPr>
        <w:t> </w:t>
      </w:r>
      <w:r w:rsidR="00CE73AE" w:rsidRPr="00B82605">
        <w:rPr>
          <w:rStyle w:val="Accentuation"/>
          <w:b/>
          <w:sz w:val="21"/>
          <w:szCs w:val="21"/>
        </w:rPr>
        <w:t>Le dirigeant est à l’origine de montages frauduleux pour égarer l’administration fiscale</w:t>
      </w:r>
      <w:r w:rsidR="00CE73AE" w:rsidRPr="00B82605">
        <w:rPr>
          <w:b/>
        </w:rPr>
        <w:t>) ;</w:t>
      </w:r>
    </w:p>
    <w:p w14:paraId="2C0F7372" w14:textId="77777777" w:rsidR="00CE73AE" w:rsidRPr="00B82605" w:rsidRDefault="00B82605" w:rsidP="00B82605">
      <w:pPr>
        <w:pStyle w:val="CGPC-elearning"/>
      </w:pPr>
      <w:r w:rsidRPr="00B82605">
        <w:t xml:space="preserve">- </w:t>
      </w:r>
      <w:r w:rsidR="00CE73AE" w:rsidRPr="00B82605">
        <w:t>le faux et usage de faux en écriture ;</w:t>
      </w:r>
    </w:p>
    <w:p w14:paraId="67CCA3F8" w14:textId="77777777" w:rsidR="00CE73AE" w:rsidRPr="00B82605" w:rsidRDefault="00B82605" w:rsidP="00B82605">
      <w:pPr>
        <w:pStyle w:val="CGPC-elearning"/>
      </w:pPr>
      <w:r w:rsidRPr="00B82605">
        <w:t xml:space="preserve">- </w:t>
      </w:r>
      <w:r w:rsidR="00CE73AE" w:rsidRPr="00B82605">
        <w:t>le détournement de fonds (</w:t>
      </w:r>
      <w:r w:rsidR="00CE73AE" w:rsidRPr="00B82605">
        <w:rPr>
          <w:rStyle w:val="Accentuation"/>
          <w:sz w:val="21"/>
          <w:szCs w:val="21"/>
        </w:rPr>
        <w:t>soustraire une somme à son profit alors qu’on est censé gérer cette chose pour autrui</w:t>
      </w:r>
      <w:r w:rsidR="00CE73AE" w:rsidRPr="00B82605">
        <w:t>) ;</w:t>
      </w:r>
    </w:p>
    <w:p w14:paraId="30BB4CD8" w14:textId="77777777" w:rsidR="00CE73AE" w:rsidRPr="00B82605" w:rsidRDefault="00B82605" w:rsidP="00B82605">
      <w:pPr>
        <w:pStyle w:val="CGPC-elearning"/>
      </w:pPr>
      <w:r w:rsidRPr="00B82605">
        <w:t xml:space="preserve">- </w:t>
      </w:r>
      <w:r w:rsidR="00CE73AE" w:rsidRPr="00B82605">
        <w:t>la négligence des règles de sécurité (</w:t>
      </w:r>
      <w:r w:rsidR="00CE73AE" w:rsidRPr="00B82605">
        <w:rPr>
          <w:rStyle w:val="lev"/>
          <w:i/>
          <w:iCs/>
          <w:sz w:val="21"/>
          <w:szCs w:val="21"/>
          <w:u w:val="single"/>
        </w:rPr>
        <w:t>exemple :</w:t>
      </w:r>
      <w:r w:rsidR="00CE73AE" w:rsidRPr="00B82605">
        <w:t> </w:t>
      </w:r>
      <w:r w:rsidR="00CE73AE" w:rsidRPr="00B82605">
        <w:rPr>
          <w:rStyle w:val="Accentuation"/>
          <w:sz w:val="21"/>
          <w:szCs w:val="21"/>
        </w:rPr>
        <w:t>ne pas organiser de visite médicale</w:t>
      </w:r>
      <w:r w:rsidR="00CE73AE" w:rsidRPr="00B82605">
        <w:t>) ;</w:t>
      </w:r>
    </w:p>
    <w:p w14:paraId="1C7FB597" w14:textId="77777777" w:rsidR="00CE73AE" w:rsidRPr="00B82605" w:rsidRDefault="00B82605" w:rsidP="00B82605">
      <w:pPr>
        <w:pStyle w:val="CGPC-elearning"/>
      </w:pPr>
      <w:r w:rsidRPr="00B82605">
        <w:t xml:space="preserve">- </w:t>
      </w:r>
      <w:r w:rsidR="00CE73AE" w:rsidRPr="00B82605">
        <w:t>les infractions douanières ;</w:t>
      </w:r>
    </w:p>
    <w:p w14:paraId="6A662164" w14:textId="77777777" w:rsidR="00CE73AE" w:rsidRPr="00B82605" w:rsidRDefault="00B82605" w:rsidP="00B82605">
      <w:pPr>
        <w:pStyle w:val="CGPC-elearning"/>
      </w:pPr>
      <w:r w:rsidRPr="00B82605">
        <w:t xml:space="preserve">- </w:t>
      </w:r>
      <w:r w:rsidR="00CE73AE" w:rsidRPr="00B82605">
        <w:t>les infractions environnementales ;</w:t>
      </w:r>
    </w:p>
    <w:p w14:paraId="6B1BFABA" w14:textId="77777777" w:rsidR="00B82605" w:rsidRPr="00B82605" w:rsidRDefault="00B82605" w:rsidP="00B82605">
      <w:pPr>
        <w:pStyle w:val="CGPC-elearning"/>
      </w:pPr>
      <w:r w:rsidRPr="00B82605">
        <w:t xml:space="preserve">- </w:t>
      </w:r>
      <w:r w:rsidR="00CE73AE" w:rsidRPr="00B82605">
        <w:t>la tromperie sur la qualité du produit vendu.</w:t>
      </w:r>
    </w:p>
    <w:p w14:paraId="2B6EA603" w14:textId="7E588D24" w:rsidR="00CE73AE" w:rsidRPr="00CB39A6" w:rsidRDefault="00CE73AE" w:rsidP="00CB39A6">
      <w:pPr>
        <w:pStyle w:val="Titre5"/>
      </w:pPr>
      <w:r w:rsidRPr="00CB39A6">
        <w:t>Les cas d’exonération de la responsabilité pénale</w:t>
      </w:r>
    </w:p>
    <w:p w14:paraId="4EE37F0E" w14:textId="77777777" w:rsidR="00CE73AE" w:rsidRPr="00B82605" w:rsidRDefault="00CE73AE" w:rsidP="00B82605">
      <w:pPr>
        <w:pStyle w:val="CGPC-elearning"/>
      </w:pPr>
      <w:r w:rsidRPr="00B82605">
        <w:t>Il existe plusieurs cas d’exonération de la responsabilité pénale du dirigeant :</w:t>
      </w:r>
    </w:p>
    <w:p w14:paraId="088E1E3F" w14:textId="77777777" w:rsidR="00CE73AE" w:rsidRPr="00B82605" w:rsidRDefault="00B82605" w:rsidP="00B82605">
      <w:pPr>
        <w:pStyle w:val="CGPC-elearning"/>
      </w:pPr>
      <w:r w:rsidRPr="00B82605">
        <w:lastRenderedPageBreak/>
        <w:t xml:space="preserve">- </w:t>
      </w:r>
      <w:r w:rsidR="00CE73AE" w:rsidRPr="00B82605">
        <w:t>la délégation de pouvoirs (le dirigeant a délégué ses pouvoirs à une personne pourvue de la compétence, de l’autorité et des moyens nécessaires pour faire respecter la réglementation)</w:t>
      </w:r>
    </w:p>
    <w:p w14:paraId="4F2B086A" w14:textId="77777777" w:rsidR="00CE73AE" w:rsidRPr="00B82605" w:rsidRDefault="00B82605" w:rsidP="00B82605">
      <w:pPr>
        <w:pStyle w:val="CGPC-elearning"/>
      </w:pPr>
      <w:r w:rsidRPr="00B82605">
        <w:t xml:space="preserve">- </w:t>
      </w:r>
      <w:r w:rsidR="00CE73AE" w:rsidRPr="00B82605">
        <w:t>la force majeure ;</w:t>
      </w:r>
    </w:p>
    <w:p w14:paraId="40EEA6D2" w14:textId="77777777" w:rsidR="00CE73AE" w:rsidRPr="00B82605" w:rsidRDefault="00B82605" w:rsidP="00B82605">
      <w:pPr>
        <w:pStyle w:val="CGPC-elearning"/>
        <w:rPr>
          <w:b/>
        </w:rPr>
      </w:pPr>
      <w:r w:rsidRPr="00B82605">
        <w:t xml:space="preserve">- </w:t>
      </w:r>
      <w:r w:rsidR="00CE73AE" w:rsidRPr="00B82605">
        <w:t>l’impossibilité pour le dirigeant d’influencer le comportement du contrevenant (</w:t>
      </w:r>
      <w:r w:rsidR="00CE73AE" w:rsidRPr="00B82605">
        <w:rPr>
          <w:rStyle w:val="lev"/>
          <w:i/>
          <w:iCs/>
          <w:sz w:val="21"/>
          <w:szCs w:val="21"/>
          <w:u w:val="single"/>
        </w:rPr>
        <w:t>par exemple</w:t>
      </w:r>
      <w:r w:rsidR="00CE73AE" w:rsidRPr="00B82605">
        <w:rPr>
          <w:rStyle w:val="Accentuation"/>
          <w:sz w:val="21"/>
          <w:szCs w:val="21"/>
        </w:rPr>
        <w:t xml:space="preserve"> : </w:t>
      </w:r>
      <w:r w:rsidR="00CE73AE" w:rsidRPr="00B82605">
        <w:rPr>
          <w:rStyle w:val="Accentuation"/>
          <w:b/>
          <w:sz w:val="21"/>
          <w:szCs w:val="21"/>
        </w:rPr>
        <w:t>l’un de ses salariés emprunte un véhicule appartenant à la société sans en avoir l’autorisation et commet une infraction</w:t>
      </w:r>
      <w:r w:rsidR="00CE73AE" w:rsidRPr="00B82605">
        <w:rPr>
          <w:b/>
        </w:rPr>
        <w:t>) ;</w:t>
      </w:r>
    </w:p>
    <w:p w14:paraId="1E8297BD" w14:textId="77777777" w:rsidR="00CE73AE" w:rsidRPr="00B82605" w:rsidRDefault="00B82605" w:rsidP="00B82605">
      <w:pPr>
        <w:pStyle w:val="CGPC-elearning"/>
      </w:pPr>
      <w:r w:rsidRPr="00B82605">
        <w:t xml:space="preserve">- </w:t>
      </w:r>
      <w:r w:rsidR="00CE73AE" w:rsidRPr="00B82605">
        <w:t>l’absence de faute d’imprudence, de négligence ou de manquement à une obligation de prudence ou de sécurité prévue par la loi ou le règlement.</w:t>
      </w:r>
    </w:p>
    <w:p w14:paraId="1303F226" w14:textId="168EA4C2" w:rsidR="00CE73AE" w:rsidRPr="00CB39A6" w:rsidRDefault="0078156D" w:rsidP="00CB39A6">
      <w:pPr>
        <w:pStyle w:val="Titre5"/>
      </w:pPr>
      <w:r w:rsidRPr="00CB39A6">
        <w:t xml:space="preserve"> </w:t>
      </w:r>
      <w:r w:rsidR="00CE73AE" w:rsidRPr="00CB39A6">
        <w:t>Les sanctions pénales du dirigeant responsable</w:t>
      </w:r>
    </w:p>
    <w:p w14:paraId="196D5008" w14:textId="77777777" w:rsidR="00CE73AE" w:rsidRDefault="00CE73AE" w:rsidP="00B82605">
      <w:pPr>
        <w:pStyle w:val="CGPC-elearning"/>
      </w:pPr>
      <w:r>
        <w:t>Le Code pénal prévoit toute une série de peines applicables au dirigeant qui s’est rendu coupable d’une infraction pénale. Ces peines sont variées. Citons notamment :</w:t>
      </w:r>
    </w:p>
    <w:p w14:paraId="11A40D8A" w14:textId="77777777" w:rsidR="00CE73AE" w:rsidRDefault="00B82605" w:rsidP="00B82605">
      <w:pPr>
        <w:pStyle w:val="CGPC-elearning"/>
      </w:pPr>
      <w:r>
        <w:t xml:space="preserve">- </w:t>
      </w:r>
      <w:r w:rsidR="00CE73AE">
        <w:t>l’emprisonnement (de plusieurs mois à plusieurs années) ;</w:t>
      </w:r>
    </w:p>
    <w:p w14:paraId="5DA8174F" w14:textId="77777777" w:rsidR="00CE73AE" w:rsidRDefault="00B82605" w:rsidP="00B82605">
      <w:pPr>
        <w:pStyle w:val="CGPC-elearning"/>
      </w:pPr>
      <w:r>
        <w:t xml:space="preserve">- </w:t>
      </w:r>
      <w:r w:rsidR="00CE73AE">
        <w:t>l’amende, qui consiste à régler une certaine somme d’argent au Trésor public ;</w:t>
      </w:r>
    </w:p>
    <w:p w14:paraId="14932A09" w14:textId="77777777" w:rsidR="00CE73AE" w:rsidRDefault="00B82605" w:rsidP="00B82605">
      <w:pPr>
        <w:pStyle w:val="CGPC-elearning"/>
      </w:pPr>
      <w:r>
        <w:t xml:space="preserve">- </w:t>
      </w:r>
      <w:r w:rsidR="00CE73AE">
        <w:t>le jour-amende, qui est une sanction consistant à payer une amende dont le montant est fixé par jour et pour une certaine durée ;</w:t>
      </w:r>
    </w:p>
    <w:p w14:paraId="6CC06A2B" w14:textId="77777777" w:rsidR="00CE73AE" w:rsidRDefault="00B82605" w:rsidP="00B82605">
      <w:pPr>
        <w:pStyle w:val="CGPC-elearning"/>
      </w:pPr>
      <w:r>
        <w:t xml:space="preserve">- </w:t>
      </w:r>
      <w:r w:rsidR="00CE73AE">
        <w:t>la contrainte pénale, qui est une sanction alternative à l’emprisonnement et qui consiste en diverses obligations limitant la liberté du condamné.</w:t>
      </w:r>
    </w:p>
    <w:p w14:paraId="2CB5D7BA" w14:textId="77777777" w:rsidR="00B82605" w:rsidRDefault="00B82605" w:rsidP="00B82605">
      <w:pPr>
        <w:pStyle w:val="CGPC-elearning"/>
      </w:pPr>
    </w:p>
    <w:p w14:paraId="5721C7D2" w14:textId="77777777" w:rsidR="00CE73AE" w:rsidRDefault="00CE73AE" w:rsidP="00B82605">
      <w:pPr>
        <w:pStyle w:val="CGPC-elearning"/>
      </w:pPr>
      <w:r>
        <w:t xml:space="preserve">En lieu et place de l’emprisonnement, le dirigeant encourt également des peines privatives ou restrictives de droits, « lorsqu’un délit est puni d’une peine d’emprisonnement » (C. </w:t>
      </w:r>
      <w:proofErr w:type="spellStart"/>
      <w:r>
        <w:t>pén</w:t>
      </w:r>
      <w:proofErr w:type="spellEnd"/>
      <w:r>
        <w:t>., art. 131-6). Il peut s’agir notamment :</w:t>
      </w:r>
    </w:p>
    <w:p w14:paraId="45FBA78B" w14:textId="77777777" w:rsidR="00CE73AE" w:rsidRDefault="00B82605" w:rsidP="00B82605">
      <w:pPr>
        <w:pStyle w:val="CGPC-elearning"/>
      </w:pPr>
      <w:r>
        <w:t xml:space="preserve">- </w:t>
      </w:r>
      <w:r w:rsidR="00CE73AE">
        <w:t>de la suspension de son permis de conduire (pour une durée de cinq ans au plus) ;</w:t>
      </w:r>
    </w:p>
    <w:p w14:paraId="62575AAF" w14:textId="77777777" w:rsidR="00CE73AE" w:rsidRDefault="00B82605" w:rsidP="00B82605">
      <w:pPr>
        <w:pStyle w:val="CGPC-elearning"/>
      </w:pPr>
      <w:r>
        <w:t xml:space="preserve">- </w:t>
      </w:r>
      <w:r w:rsidR="00CE73AE">
        <w:t>de l’interdiction d’émettre des chèques et d’utiliser des cartes de paiement ;</w:t>
      </w:r>
    </w:p>
    <w:p w14:paraId="4C3EC796" w14:textId="77777777" w:rsidR="00CE73AE" w:rsidRDefault="00B82605" w:rsidP="00B82605">
      <w:pPr>
        <w:pStyle w:val="CGPC-elearning"/>
      </w:pPr>
      <w:r>
        <w:t xml:space="preserve">- </w:t>
      </w:r>
      <w:r w:rsidR="00CE73AE">
        <w:t>de l’interdiction d’exercer une activité professionnelle ou sociale ;</w:t>
      </w:r>
    </w:p>
    <w:p w14:paraId="1F7BA16E" w14:textId="77777777" w:rsidR="00CE73AE" w:rsidRDefault="00B82605" w:rsidP="00B82605">
      <w:pPr>
        <w:pStyle w:val="CGPC-elearning"/>
      </w:pPr>
      <w:r>
        <w:t xml:space="preserve">- </w:t>
      </w:r>
      <w:r w:rsidR="00CE73AE">
        <w:t>de l’interdiction d’exercer une profession commerciale ou industrielle, de diriger, d’administrer, de gérer ou de contrôler une entreprise commerciale ou industrielle ou une société commerciale ;</w:t>
      </w:r>
    </w:p>
    <w:p w14:paraId="64ECCDED" w14:textId="77777777" w:rsidR="00CE73AE" w:rsidRDefault="00B82605" w:rsidP="00B82605">
      <w:pPr>
        <w:pStyle w:val="CGPC-elearning"/>
      </w:pPr>
      <w:r>
        <w:t xml:space="preserve">- </w:t>
      </w:r>
      <w:r w:rsidR="00CE73AE">
        <w:t>de l’interdiction de paraître dans certains lieux ou catégories de lieux déterminés par la juridiction et dans lesquels l’infraction a été commise ;</w:t>
      </w:r>
    </w:p>
    <w:p w14:paraId="6BA4FC8C" w14:textId="77777777" w:rsidR="00CE73AE" w:rsidRDefault="00CE73AE" w:rsidP="00B82605">
      <w:pPr>
        <w:pStyle w:val="CGPC-elearning"/>
      </w:pPr>
    </w:p>
    <w:p w14:paraId="337985F0" w14:textId="77777777" w:rsidR="00B82605" w:rsidRDefault="00B82605" w:rsidP="00B82605">
      <w:pPr>
        <w:pStyle w:val="CGPC-elearning"/>
      </w:pPr>
    </w:p>
    <w:p w14:paraId="5814246C" w14:textId="77777777" w:rsidR="00CE73AE" w:rsidRDefault="00CE73AE" w:rsidP="00B82605">
      <w:pPr>
        <w:pStyle w:val="Titre3"/>
        <w:rPr>
          <w:szCs w:val="36"/>
        </w:rPr>
      </w:pPr>
      <w:bookmarkStart w:id="9" w:name="_Toc186713568"/>
      <w:r>
        <w:lastRenderedPageBreak/>
        <w:t>Les garanties demandées au chef d’entreprise : cautionnement, autres garanties dont fiducie</w:t>
      </w:r>
      <w:bookmarkEnd w:id="9"/>
    </w:p>
    <w:p w14:paraId="17C63414" w14:textId="77777777" w:rsidR="00645749" w:rsidRDefault="00645749"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9C8ABDF" w14:textId="77777777" w:rsidR="00CE73AE" w:rsidRDefault="00CE73AE" w:rsidP="00B82605">
      <w:pPr>
        <w:pStyle w:val="CGPC-elearning"/>
      </w:pPr>
      <w:r>
        <w:t>Le dirigeant d’entreprise est fréquemment amené à fournir une garantie à sa banque pour les crédits accordés à son entreprise. Il peut notamment être conduit à consentir un cautionnement ou à recourir à une fiducie.</w:t>
      </w:r>
    </w:p>
    <w:p w14:paraId="1276643A" w14:textId="77777777" w:rsidR="00CE73AE" w:rsidRDefault="00B82605" w:rsidP="001E7313">
      <w:pPr>
        <w:pStyle w:val="Titre4"/>
        <w:numPr>
          <w:ilvl w:val="0"/>
          <w:numId w:val="16"/>
        </w:numPr>
      </w:pPr>
      <w:bookmarkStart w:id="10" w:name="_Toc186713569"/>
      <w:r>
        <w:t>Le c</w:t>
      </w:r>
      <w:r w:rsidR="00CE73AE">
        <w:t>autionnement</w:t>
      </w:r>
      <w:bookmarkEnd w:id="10"/>
    </w:p>
    <w:p w14:paraId="62EFD338" w14:textId="77777777" w:rsidR="00645749" w:rsidRPr="00645749" w:rsidRDefault="00645749" w:rsidP="00645749">
      <w:pPr>
        <w:rPr>
          <w:lang w:eastAsia="fr-FR"/>
        </w:rPr>
      </w:pPr>
    </w:p>
    <w:p w14:paraId="2586F67E" w14:textId="067068DD" w:rsidR="00CE73AE" w:rsidRPr="00CB39A6" w:rsidRDefault="00CE73AE" w:rsidP="00B82605">
      <w:pPr>
        <w:pStyle w:val="CGPC-elearning"/>
        <w:rPr>
          <w:szCs w:val="28"/>
        </w:rPr>
      </w:pPr>
      <w:r w:rsidRPr="00CB39A6">
        <w:rPr>
          <w:szCs w:val="28"/>
        </w:rPr>
        <w:t>Le cautionnement est un contrat fréquent qui a fait l’objet de nombreuses réformes, la dernière étant une ordonnance du 15 septembre 2021 entrée en vigueur le 1er janvier 2022. Son régime est désormais réglementé par les articles 2288 à 2320 du Code civil. Ces dispositions établissent des règles protectrices des cautions et un devoir d’information pesant sur le « créancier professionnel ».</w:t>
      </w:r>
    </w:p>
    <w:p w14:paraId="4E8CBE85" w14:textId="270F97D8" w:rsidR="00A24546" w:rsidRPr="00CB39A6" w:rsidRDefault="00CE73AE" w:rsidP="00CB39A6">
      <w:pPr>
        <w:pStyle w:val="CGPC-elearning"/>
        <w:numPr>
          <w:ilvl w:val="0"/>
          <w:numId w:val="25"/>
        </w:numPr>
        <w:rPr>
          <w:i/>
          <w:iCs/>
          <w:color w:val="666666"/>
          <w:szCs w:val="28"/>
        </w:rPr>
      </w:pPr>
      <w:r w:rsidRPr="00CB39A6">
        <w:rPr>
          <w:rStyle w:val="lev"/>
          <w:i/>
          <w:iCs/>
          <w:color w:val="666666"/>
          <w:szCs w:val="28"/>
          <w:u w:val="single"/>
        </w:rPr>
        <w:t>Nota :</w:t>
      </w:r>
      <w:r w:rsidRPr="00CB39A6">
        <w:rPr>
          <w:szCs w:val="28"/>
        </w:rPr>
        <w:t> </w:t>
      </w:r>
      <w:r w:rsidRPr="00CB39A6">
        <w:rPr>
          <w:rStyle w:val="Accentuation"/>
          <w:color w:val="666666"/>
          <w:szCs w:val="28"/>
        </w:rPr>
        <w:t>les cautionnements conclus avant le 1er janvier 2022 resteront soumis à la loi ancienne, à l’exception des dispositions relatives à l’obligation d’information de la caution et de la sous-caution qui leur seront applicables à partir de cette date.*</w:t>
      </w:r>
    </w:p>
    <w:p w14:paraId="0875CC5C" w14:textId="77777777" w:rsidR="00CE73AE" w:rsidRPr="0078156D" w:rsidRDefault="00CE73AE" w:rsidP="00CB39A6">
      <w:pPr>
        <w:pStyle w:val="Titre5"/>
        <w:numPr>
          <w:ilvl w:val="0"/>
          <w:numId w:val="33"/>
        </w:numPr>
      </w:pPr>
      <w:r w:rsidRPr="0078156D">
        <w:t>Les règles protectrices des cautions</w:t>
      </w:r>
    </w:p>
    <w:p w14:paraId="2A2DA94F" w14:textId="77777777" w:rsidR="00CE73AE" w:rsidRDefault="00CE73AE" w:rsidP="00B82605">
      <w:pPr>
        <w:pStyle w:val="CGPC-elearning"/>
      </w:pPr>
      <w:r>
        <w:t>Les règles protectrices des cautions sont les suivantes :</w:t>
      </w:r>
    </w:p>
    <w:p w14:paraId="34C504E8" w14:textId="77777777" w:rsidR="00CE73AE" w:rsidRDefault="0078156D" w:rsidP="001E7313">
      <w:r>
        <w:t xml:space="preserve">- </w:t>
      </w:r>
      <w:r w:rsidR="00CE73AE">
        <w:t>un engagement proportionné aux revenus de la caution ;</w:t>
      </w:r>
    </w:p>
    <w:p w14:paraId="0559FD85" w14:textId="77777777" w:rsidR="00CE73AE" w:rsidRDefault="0078156D" w:rsidP="00B82605">
      <w:pPr>
        <w:pStyle w:val="CGPC-elearning"/>
      </w:pPr>
      <w:r>
        <w:t xml:space="preserve">- </w:t>
      </w:r>
      <w:r w:rsidR="00CE73AE">
        <w:t>une mise en garde des cautions, averties ou non ;</w:t>
      </w:r>
    </w:p>
    <w:p w14:paraId="685F847F" w14:textId="77777777" w:rsidR="00CE73AE" w:rsidRDefault="0078156D" w:rsidP="00B82605">
      <w:pPr>
        <w:pStyle w:val="CGPC-elearning"/>
      </w:pPr>
      <w:r>
        <w:t xml:space="preserve">- </w:t>
      </w:r>
      <w:r w:rsidR="00CE73AE">
        <w:t>une mention manuscrite de base ;</w:t>
      </w:r>
    </w:p>
    <w:p w14:paraId="336AEA48" w14:textId="77777777" w:rsidR="0078156D" w:rsidRDefault="0078156D" w:rsidP="00B82605">
      <w:pPr>
        <w:pStyle w:val="CGPC-elearning"/>
      </w:pPr>
      <w:r>
        <w:t xml:space="preserve">- </w:t>
      </w:r>
      <w:r w:rsidR="00CE73AE">
        <w:t>une mention particulière pour un cautionnement solidaire.</w:t>
      </w:r>
    </w:p>
    <w:p w14:paraId="27AAA672" w14:textId="77777777" w:rsidR="0078156D" w:rsidRDefault="0078156D" w:rsidP="00B82605">
      <w:pPr>
        <w:pStyle w:val="CGPC-elearning"/>
      </w:pPr>
    </w:p>
    <w:p w14:paraId="58C03888" w14:textId="77777777" w:rsidR="00CE73AE" w:rsidRPr="009F5FD7" w:rsidRDefault="0078156D" w:rsidP="00CB39A6">
      <w:pPr>
        <w:pStyle w:val="Titre5"/>
      </w:pPr>
      <w:r>
        <w:t>Proportionnément de l’e</w:t>
      </w:r>
      <w:r w:rsidR="00CE73AE" w:rsidRPr="009F5FD7">
        <w:t>ngagement aux revenus de la caution</w:t>
      </w:r>
    </w:p>
    <w:p w14:paraId="6145A06E" w14:textId="77777777" w:rsidR="00CE73AE" w:rsidRDefault="00CE73AE" w:rsidP="00B82605">
      <w:pPr>
        <w:pStyle w:val="CGPC-elearning"/>
      </w:pPr>
      <w:r>
        <w:t>S’il existe une disproportion manifeste entre les revenus et le patrimoine de la caution personne physique, le cautionnement est réduit à hauteur du montant duquel elle pouvait s’engager à la date du contrat (C. civ., art. 2300). Cette faculté est réservée aux cautionnements consentis aux créanciers professionnels.</w:t>
      </w:r>
    </w:p>
    <w:p w14:paraId="472892CC" w14:textId="77777777" w:rsidR="0078156D" w:rsidRDefault="0078156D" w:rsidP="00B82605">
      <w:pPr>
        <w:pStyle w:val="CGPC-elearning"/>
      </w:pPr>
    </w:p>
    <w:p w14:paraId="7A947918" w14:textId="77777777" w:rsidR="00CE73AE" w:rsidRPr="009F5FD7" w:rsidRDefault="00CE73AE" w:rsidP="00CB39A6">
      <w:pPr>
        <w:pStyle w:val="Titre5"/>
      </w:pPr>
      <w:r w:rsidRPr="009F5FD7">
        <w:lastRenderedPageBreak/>
        <w:t>Mise en garde des cautions averties</w:t>
      </w:r>
    </w:p>
    <w:p w14:paraId="2CF67785" w14:textId="77777777" w:rsidR="00CE73AE" w:rsidRDefault="00CE73AE" w:rsidP="00B82605">
      <w:pPr>
        <w:pStyle w:val="CGPC-elearning"/>
      </w:pPr>
      <w:r>
        <w:t>« Le créancier professionnel est tenu de mettre en garde la caution personne physique lorsque l’engagement du débiteur principal est inadapté aux capacités financières de ce dernier. / À défaut, le créancier est déchu de son droit contre la caution à hauteur du préjudice subi par celle-ci. » (C. civ., art. 2299).</w:t>
      </w:r>
    </w:p>
    <w:p w14:paraId="0653EF14" w14:textId="77777777" w:rsidR="0078156D" w:rsidRDefault="0078156D" w:rsidP="00B82605">
      <w:pPr>
        <w:pStyle w:val="CGPC-elearning"/>
      </w:pPr>
    </w:p>
    <w:p w14:paraId="5D0789DC" w14:textId="77777777" w:rsidR="00CE73AE" w:rsidRPr="009F5FD7" w:rsidRDefault="00CE73AE" w:rsidP="00CB39A6">
      <w:pPr>
        <w:pStyle w:val="Titre5"/>
      </w:pPr>
      <w:r w:rsidRPr="009F5FD7">
        <w:t>Mention manuscrite de base</w:t>
      </w:r>
    </w:p>
    <w:p w14:paraId="0540B496" w14:textId="77777777" w:rsidR="009F5FD7" w:rsidRDefault="009F5FD7"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E5C950B" w14:textId="77777777" w:rsidR="00CE73AE" w:rsidRDefault="00CE73AE" w:rsidP="00B82605">
      <w:pPr>
        <w:pStyle w:val="CGPC-elearning"/>
      </w:pPr>
      <w:r>
        <w:t>En application de l’article 2297 du Code civil et à compter du 1er janvier 2022, la caution personne physique n’est plus tenue de recopier une mention strictement imposée. Elle doit apposer elle-même, à peine de nullité de son engagement, une mention selon laquelle elle s’engage en qualité de caution à payer au créancier ce que lui doit le débiteur en cas de défaillance de celui-ci et dans la limite d’un montant en principal et accessoires exprimés en toutes lettres et en chiffres. En cas de différence, le cautionnement vaut pour la somme écrite en toutes lettres.</w:t>
      </w:r>
    </w:p>
    <w:p w14:paraId="60CE8376" w14:textId="77777777" w:rsidR="0078156D" w:rsidRDefault="0078156D" w:rsidP="00B82605">
      <w:pPr>
        <w:pStyle w:val="CGPC-elearning"/>
      </w:pPr>
    </w:p>
    <w:p w14:paraId="6D96361B" w14:textId="77777777" w:rsidR="00CE73AE" w:rsidRPr="009F5FD7" w:rsidRDefault="00CE73AE" w:rsidP="00CB39A6">
      <w:pPr>
        <w:pStyle w:val="Titre5"/>
      </w:pPr>
      <w:r w:rsidRPr="009F5FD7">
        <w:t>Mention particulière pour un cautionnement solidaire</w:t>
      </w:r>
    </w:p>
    <w:p w14:paraId="36A6ADC2" w14:textId="77777777" w:rsidR="0078156D" w:rsidRDefault="00CE73AE" w:rsidP="00B82605">
      <w:pPr>
        <w:pStyle w:val="CGPC-elearning"/>
      </w:pPr>
      <w:r>
        <w:t>Pour les cautionnements conclus à compter du 1er janvier 2022, la caution doit préciser, dans la mention manuscrite de base, qu’elle reconnaît ne pouvoir exiger du créancier qu’il poursuive d’abord le débiteur ou qu’il divise ses poursuites entre les cautions. À défaut, elle conserve le droit de se prévaloir de ces bénéfices (C. civ., art. 2297).</w:t>
      </w:r>
    </w:p>
    <w:p w14:paraId="3364C05F" w14:textId="77777777" w:rsidR="00CE73AE" w:rsidRDefault="00CE73AE" w:rsidP="00CB39A6">
      <w:pPr>
        <w:pStyle w:val="Titre5"/>
      </w:pPr>
      <w:r w:rsidRPr="009F5FD7">
        <w:t>Le devoir d’information du créancier</w:t>
      </w:r>
    </w:p>
    <w:p w14:paraId="3B34CEA2" w14:textId="77777777" w:rsidR="00CE73AE" w:rsidRDefault="00CE73AE" w:rsidP="00B82605">
      <w:pPr>
        <w:pStyle w:val="CGPC-elearning"/>
      </w:pPr>
      <w:r>
        <w:t>Le devoir d’information du « créancier professionnel » a pour objet :</w:t>
      </w:r>
    </w:p>
    <w:p w14:paraId="73E7F9AF" w14:textId="77777777" w:rsidR="00CE73AE" w:rsidRDefault="0078156D" w:rsidP="00B82605">
      <w:pPr>
        <w:pStyle w:val="CGPC-elearning"/>
      </w:pPr>
      <w:r>
        <w:t xml:space="preserve">- </w:t>
      </w:r>
      <w:r w:rsidR="00CE73AE">
        <w:t> l’information annuelle de la caution et de la sous-caution ;</w:t>
      </w:r>
    </w:p>
    <w:p w14:paraId="2562B0CD" w14:textId="77777777" w:rsidR="0078156D" w:rsidRDefault="0078156D" w:rsidP="00B82605">
      <w:pPr>
        <w:pStyle w:val="CGPC-elearning"/>
      </w:pPr>
      <w:r>
        <w:t xml:space="preserve">- </w:t>
      </w:r>
      <w:r w:rsidR="00CE73AE">
        <w:t> l’information en cas d’incident de paiement.</w:t>
      </w:r>
    </w:p>
    <w:p w14:paraId="5625769F" w14:textId="77777777" w:rsidR="00CE73AE" w:rsidRDefault="00CE73AE" w:rsidP="00CB39A6">
      <w:pPr>
        <w:pStyle w:val="Titre5"/>
      </w:pPr>
      <w:r w:rsidRPr="009F5FD7">
        <w:lastRenderedPageBreak/>
        <w:t>L’information annuelle de la caution et de la sous-caution</w:t>
      </w:r>
    </w:p>
    <w:p w14:paraId="76449CE8" w14:textId="77777777" w:rsidR="00CE73AE" w:rsidRDefault="00CE73AE" w:rsidP="00B82605">
      <w:pPr>
        <w:pStyle w:val="CGPC-elearning"/>
      </w:pPr>
      <w:r>
        <w:t>Le créancier est tenu, avant le 31 mars de chaque année, d’informer toute caution du montant du principal de la dette, des intérêts et des accessoires restants dus au 31 décembre de l’année précédente. Il est également tenu de lui rappeler le terme de l’engagement (ou, en cas de durée indéterminée, sa faculté de résiliation à tout moment).</w:t>
      </w:r>
    </w:p>
    <w:p w14:paraId="414466BE" w14:textId="77777777" w:rsidR="00CE73AE" w:rsidRDefault="00CE73AE" w:rsidP="00B82605">
      <w:pPr>
        <w:pStyle w:val="CGPC-elearning"/>
      </w:pPr>
      <w:r>
        <w:t>La sous-caution personne physique bénéficie également d’un droit d’information : la caution doit en effet lui communiquer, dans le mois de la réception, les informations qu’elle aura reçues au titre de son droit d’information annuelle ou de son droit d’information en cas de défaillance du débiteur cautionné.</w:t>
      </w:r>
    </w:p>
    <w:p w14:paraId="7826679A" w14:textId="77777777" w:rsidR="00CE73AE" w:rsidRDefault="00CE73AE" w:rsidP="00CB39A6">
      <w:pPr>
        <w:pStyle w:val="Titre5"/>
      </w:pPr>
      <w:r>
        <w:t>L’information en cas d’incident de paiement</w:t>
      </w:r>
    </w:p>
    <w:p w14:paraId="74618451" w14:textId="77777777" w:rsidR="00CE73AE" w:rsidRDefault="00CE73AE" w:rsidP="00B82605">
      <w:pPr>
        <w:pStyle w:val="CGPC-elearning"/>
      </w:pPr>
      <w:r>
        <w:t>Le créancier professionnel est tenu d’informer toute caution personne physique de la défaillance du débiteur principal dès le premier incident de paiement non régularisé dans le mois de l’exigibilité de ce paiement.</w:t>
      </w:r>
    </w:p>
    <w:p w14:paraId="5C1DFD8D" w14:textId="77777777" w:rsidR="00CE73AE" w:rsidRDefault="00CE73AE" w:rsidP="00B82605">
      <w:pPr>
        <w:pStyle w:val="CGPC-elearning"/>
      </w:pPr>
      <w:r>
        <w:t>La caution doit, quant à elle, informer le débiteur principal qu’elle va effectuer le paiement auprès du créancier.</w:t>
      </w:r>
    </w:p>
    <w:p w14:paraId="0594FA3F" w14:textId="77777777" w:rsidR="0078156D" w:rsidRDefault="0078156D" w:rsidP="00B82605">
      <w:pPr>
        <w:pStyle w:val="CGPC-elearning"/>
      </w:pPr>
    </w:p>
    <w:p w14:paraId="3F50E534" w14:textId="77777777" w:rsidR="00CE73AE" w:rsidRDefault="00CE73AE" w:rsidP="001E7313">
      <w:pPr>
        <w:pStyle w:val="Titre4"/>
      </w:pPr>
      <w:bookmarkStart w:id="11" w:name="_Toc186713570"/>
      <w:r>
        <w:t>La fiducie en garantie</w:t>
      </w:r>
      <w:bookmarkEnd w:id="11"/>
    </w:p>
    <w:p w14:paraId="1D75DD13" w14:textId="77777777" w:rsidR="00CE73AE" w:rsidRDefault="00CE73AE" w:rsidP="00B82605">
      <w:pPr>
        <w:pStyle w:val="CGPC-elearning"/>
      </w:pPr>
      <w:r>
        <w:t>La fiducie peut être utilisée comme un moyen très efficace de protection du patrimoine du dirigeant. En effet, les difficultés de l’entreprise sont de nature à faire peser sur le patrimoine personnel du dirigeant une menace dont ce dernier doit se prémunir.</w:t>
      </w:r>
    </w:p>
    <w:p w14:paraId="4DAEEBEE" w14:textId="1E9B110F" w:rsidR="001E7313" w:rsidRDefault="00CE73AE" w:rsidP="00B82605">
      <w:pPr>
        <w:pStyle w:val="CGPC-elearning"/>
      </w:pPr>
      <w:r>
        <w:t>Le choix d’un régime de séparation de biens, la déclaration d’insaisissabilité des biens immobiliers non affectés à un usage professionnel ou encore le recours à des sociétés à responsabilité limitée, ne sont pas toujours des protections suffisantes. La fiducie permet de « cloisonner » le patrimoine du dirigeant et d’isoler les biens à protéger au sein d’un patrimoine dit « d’affectation » et de tenir hors d’atteinte des créanciers les actifs mis en fiducie.</w:t>
      </w:r>
    </w:p>
    <w:p w14:paraId="3DEA1EE0" w14:textId="77777777" w:rsidR="001E7313" w:rsidRDefault="001E7313" w:rsidP="001E7313">
      <w:pPr>
        <w:pStyle w:val="CGPC-elearning"/>
      </w:pPr>
      <w:r>
        <w:br w:type="page"/>
      </w:r>
    </w:p>
    <w:p w14:paraId="4A9DF4FC" w14:textId="77777777" w:rsidR="00CE73AE" w:rsidRDefault="00CE73AE" w:rsidP="00CB39A6">
      <w:pPr>
        <w:pStyle w:val="Titre5"/>
        <w:numPr>
          <w:ilvl w:val="0"/>
          <w:numId w:val="20"/>
        </w:numPr>
      </w:pPr>
      <w:r>
        <w:lastRenderedPageBreak/>
        <w:t>La fiducie-sûreté</w:t>
      </w:r>
    </w:p>
    <w:p w14:paraId="128E0C93" w14:textId="77777777" w:rsidR="001E7313" w:rsidRDefault="001E7313" w:rsidP="00B82605">
      <w:pPr>
        <w:pStyle w:val="CGPC-elearning"/>
        <w:sectPr w:rsidR="001E7313" w:rsidSect="00A24546">
          <w:headerReference w:type="default" r:id="rId14"/>
          <w:footerReference w:type="default" r:id="rId15"/>
          <w:pgSz w:w="23811" w:h="16838" w:orient="landscape" w:code="8"/>
          <w:pgMar w:top="1440" w:right="1440" w:bottom="1440" w:left="1440" w:header="720" w:footer="720" w:gutter="0"/>
          <w:pgNumType w:start="0"/>
          <w:cols w:space="720"/>
          <w:titlePg/>
          <w:docGrid w:linePitch="360"/>
        </w:sectPr>
      </w:pPr>
    </w:p>
    <w:p w14:paraId="28CC3420" w14:textId="77777777" w:rsidR="00CE73AE" w:rsidRDefault="00CE73AE" w:rsidP="00B82605">
      <w:pPr>
        <w:pStyle w:val="CGPC-elearning"/>
      </w:pPr>
      <w:r>
        <w:t>La fiducie-sûreté est un concept relativement nouveau en France, puisqu’il a fait son entrée dans le Code civil en 2007. Il s’agit d’une garantie contractuelle permettant une protection face au risque de crédit. Elle permet une gestion déléguée des actifs pour une préservation de leur valeur dans le temps.</w:t>
      </w:r>
    </w:p>
    <w:p w14:paraId="3CF87B87" w14:textId="77777777" w:rsidR="00CE73AE" w:rsidRDefault="00CE73AE" w:rsidP="00B82605">
      <w:pPr>
        <w:pStyle w:val="CGPC-elearning"/>
      </w:pPr>
      <w:r>
        <w:t>Inspirée du trust anglo-saxon, son utilisation reste encore complexe, mais intéresse les créanciers par sa dimension particulièrement sécurisante. En effet, à l’inverse des sûretés traditionnelles, où le débiteur offre en garantie – par un gage, un nantissement ou une hypothèque – un bien dont il reste propriétaire, l’apport d’actifs dans une fiducie-sûreté auprès d’un fiduciaire transfère la propriété des actifs dans un patrimoine d’affectation étanche appelé « patrimoine fiduciaire ».</w:t>
      </w:r>
    </w:p>
    <w:p w14:paraId="23A7C3F5" w14:textId="77777777" w:rsidR="00CE73AE" w:rsidRDefault="00CE73AE" w:rsidP="00B82605">
      <w:pPr>
        <w:pStyle w:val="CGPC-elearning"/>
      </w:pPr>
      <w:r>
        <w:t>La fiducie-sûreté est un contrat tripartite conclu entre :</w:t>
      </w:r>
    </w:p>
    <w:p w14:paraId="761566A4" w14:textId="77777777" w:rsidR="00CE73AE" w:rsidRDefault="00CE73AE" w:rsidP="00B82605">
      <w:pPr>
        <w:pStyle w:val="CGPC-elearning"/>
      </w:pPr>
      <w:r>
        <w:rPr>
          <w:rStyle w:val="lev"/>
          <w:color w:val="666666"/>
          <w:sz w:val="21"/>
          <w:szCs w:val="21"/>
        </w:rPr>
        <w:t>le constituant :</w:t>
      </w:r>
      <w:r>
        <w:t> il s’agit du porteur de projet, qui apporte ses actifs afin de garantir la dette contractée ;</w:t>
      </w:r>
    </w:p>
    <w:p w14:paraId="2E0F9D36" w14:textId="77777777" w:rsidR="00CE73AE" w:rsidRDefault="00CE73AE" w:rsidP="00B82605">
      <w:pPr>
        <w:pStyle w:val="CGPC-elearning"/>
      </w:pPr>
      <w:r>
        <w:rPr>
          <w:rStyle w:val="lev"/>
          <w:color w:val="666666"/>
          <w:sz w:val="21"/>
          <w:szCs w:val="21"/>
        </w:rPr>
        <w:t>le bénéficiaire :</w:t>
      </w:r>
      <w:r>
        <w:t> il s’agit du créancier, qui pourra bénéficier des actifs afin de recouvrer sa créance ;</w:t>
      </w:r>
    </w:p>
    <w:p w14:paraId="280EEF5E" w14:textId="77777777" w:rsidR="00CE73AE" w:rsidRDefault="00CE73AE" w:rsidP="00B82605">
      <w:pPr>
        <w:pStyle w:val="CGPC-elearning"/>
      </w:pPr>
      <w:r>
        <w:rPr>
          <w:rStyle w:val="lev"/>
          <w:color w:val="666666"/>
          <w:sz w:val="21"/>
          <w:szCs w:val="21"/>
        </w:rPr>
        <w:t>le fiduciaire :</w:t>
      </w:r>
      <w:r>
        <w:t> il s’agit d’une entreprise ou d’un avocat en charge de gérer l’actif fiduciaire.</w:t>
      </w:r>
    </w:p>
    <w:p w14:paraId="6001BF50" w14:textId="77777777" w:rsidR="00CE73AE" w:rsidRDefault="00CE73AE" w:rsidP="00B82605">
      <w:pPr>
        <w:pStyle w:val="CGPC-elearning"/>
      </w:pPr>
      <w:r>
        <w:t>À la grande différence des sûretés classiques, elle permet aux créanciers, qui sont les bénéficiaires de cette fiducie-sûreté, de se prémunir contre les procédures collectives et d’utiliser l’actif afin d’éteindre la créance, à condition que ces actifs ne soient plus la propriété de l’entreprise.</w:t>
      </w:r>
    </w:p>
    <w:p w14:paraId="3E155BEB" w14:textId="77777777" w:rsidR="00CE73AE" w:rsidRDefault="00CE73AE" w:rsidP="00B82605">
      <w:pPr>
        <w:pStyle w:val="CGPC-elearning"/>
      </w:pPr>
      <w:r>
        <w:t>Le droit de réaliser l’actif est opposable aux tiers, dès lors que les conditions d’exigibilité anticipée sont réunies. En somme, cela signifie que si les conditions d’exigibilité anticipée sont réunies, le créancier peut vendre les actifs, en dépit d’une procédure collective en cours, afin de rembourser la créance.</w:t>
      </w:r>
    </w:p>
    <w:p w14:paraId="547429E0" w14:textId="77777777" w:rsidR="00CE73AE" w:rsidRDefault="00CE73AE" w:rsidP="00B82605">
      <w:pPr>
        <w:pStyle w:val="CGPC-elearning"/>
      </w:pPr>
      <w:r>
        <w:t>Le patrimoine fiduciaire est un patrimoine d’affectation, différent de celui du fiduciaire constituant. À ce titre :</w:t>
      </w:r>
    </w:p>
    <w:p w14:paraId="0777589C" w14:textId="77777777" w:rsidR="00CE73AE" w:rsidRDefault="00CE73AE" w:rsidP="00B82605">
      <w:pPr>
        <w:pStyle w:val="CGPC-elearning"/>
      </w:pPr>
      <w:r>
        <w:t> les biens sortant du patrimoine de l’emprunteur, les droits du bénéficiaire ne sont pas en concurrence avec ceux d’autres créanciers du constituant ;</w:t>
      </w:r>
    </w:p>
    <w:p w14:paraId="088F112C" w14:textId="77777777" w:rsidR="00CE73AE" w:rsidRDefault="00CE73AE" w:rsidP="00B82605">
      <w:pPr>
        <w:pStyle w:val="CGPC-elearning"/>
      </w:pPr>
      <w:r>
        <w:t>l’opération est neutre fiscalement et les éventuels revenus ou plus-values sont imposés chez le constituant. Ce dernier conserve en général la jouissance et l’usage du bien pendant toute la durée de l’opération ;</w:t>
      </w:r>
    </w:p>
    <w:p w14:paraId="739276CF" w14:textId="77777777" w:rsidR="00CE73AE" w:rsidRDefault="00CE73AE" w:rsidP="00B82605">
      <w:pPr>
        <w:pStyle w:val="CGPC-elearning"/>
      </w:pPr>
      <w:r>
        <w:t>à terme, une fois le crédit remboursé, les biens reviennent dans le patrimoine du constituant, sans frottement fiscal. À défaut de paiement de la dette, le fiduciaire-créancier acquiert la propriété définitive des biens. Dans l’hypothèse où le fiduciaire ne serait pas le créancier, ce dernier peut exiger du fiduciaire la remise du bien, dont il dispose alors librement. À ce moment-là, la vente du bien peut s’effectuer afin de rembourser la dette. Si la valeur des biens vendus est supérieure au montant de la dette garantie, l’excédent lié à la vente est remboursé au constituant.</w:t>
      </w:r>
    </w:p>
    <w:p w14:paraId="54E4DB62" w14:textId="77777777" w:rsidR="00CE73AE" w:rsidRDefault="00CE73AE" w:rsidP="00B82605">
      <w:pPr>
        <w:pStyle w:val="CGPC-elearning"/>
      </w:pPr>
      <w:r>
        <w:t>La fiducie est considérée comme la « reine des sûretés ». Dans les situations où l’obtention de financement est difficile compte tenu de la santé financière de l’emprunteur, la fiducie permet de lever de nouvelles dettes, car elle offre la meilleure des garanties à la banque, même si le débiteur venait à être soumis à une procédure collective.</w:t>
      </w:r>
    </w:p>
    <w:p w14:paraId="6AC125ED" w14:textId="77777777" w:rsidR="00CE73AE" w:rsidRDefault="00CE73AE" w:rsidP="00B82605">
      <w:pPr>
        <w:pStyle w:val="CGPC-elearning"/>
      </w:pPr>
      <w:r>
        <w:t>Le régime juridique de la fiducie-sûreté immobilière, exposé aux articles 2488-1 et suivants du Code civil, a été légèrement assoupli par l’ordonnance n° 2021-1192 du 15 septembre 2021. Il est toutefois à craindre que cette sûreté continue de ne pas bénéficier des faveurs de la pratique (quelque dizaine de constitutions par an d’après les données de la DGFIP), spécialement au regard de l’efficacité des autres sûretés hypothécaires.</w:t>
      </w:r>
    </w:p>
    <w:p w14:paraId="6E8526D6" w14:textId="77777777" w:rsidR="001E7313" w:rsidRDefault="001E7313" w:rsidP="00B82605">
      <w:pPr>
        <w:pStyle w:val="CGPC-elearning"/>
        <w:sectPr w:rsidR="001E7313" w:rsidSect="001E7313">
          <w:type w:val="continuous"/>
          <w:pgSz w:w="23811" w:h="16838" w:orient="landscape" w:code="8"/>
          <w:pgMar w:top="1440" w:right="1440" w:bottom="1440" w:left="1440" w:header="720" w:footer="720" w:gutter="0"/>
          <w:pgNumType w:start="0"/>
          <w:cols w:num="2" w:space="720"/>
          <w:titlePg/>
          <w:docGrid w:linePitch="360"/>
        </w:sectPr>
      </w:pPr>
    </w:p>
    <w:p w14:paraId="0ED8E173" w14:textId="77777777" w:rsidR="0078156D" w:rsidRDefault="0078156D" w:rsidP="00B82605">
      <w:pPr>
        <w:pStyle w:val="CGPC-elearning"/>
      </w:pPr>
    </w:p>
    <w:p w14:paraId="314D9EEB" w14:textId="77777777" w:rsidR="0078156D" w:rsidRDefault="0078156D" w:rsidP="00B82605">
      <w:pPr>
        <w:pStyle w:val="CGPC-elearning"/>
      </w:pPr>
    </w:p>
    <w:p w14:paraId="09D6624F" w14:textId="77777777" w:rsidR="00CE73AE" w:rsidRDefault="00CE73AE" w:rsidP="00B82605">
      <w:pPr>
        <w:pStyle w:val="Titre3"/>
        <w:rPr>
          <w:szCs w:val="36"/>
        </w:rPr>
      </w:pPr>
      <w:bookmarkStart w:id="12" w:name="_Toc186713571"/>
      <w:r>
        <w:lastRenderedPageBreak/>
        <w:t>Responsabilité en cas de procédure collective : risque d’obligation de comblement du passif social</w:t>
      </w:r>
      <w:bookmarkEnd w:id="12"/>
    </w:p>
    <w:p w14:paraId="00862860" w14:textId="77777777" w:rsidR="005F0B22" w:rsidRDefault="005F0B22"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9AF5A94" w14:textId="77777777" w:rsidR="001E7313" w:rsidRDefault="001E7313" w:rsidP="00B82605">
      <w:pPr>
        <w:pStyle w:val="CGPC-elearning"/>
        <w:sectPr w:rsidR="001E7313" w:rsidSect="001E7313">
          <w:type w:val="continuous"/>
          <w:pgSz w:w="23811" w:h="16838" w:orient="landscape" w:code="8"/>
          <w:pgMar w:top="1440" w:right="1440" w:bottom="1440" w:left="1440" w:header="720" w:footer="720" w:gutter="0"/>
          <w:pgNumType w:start="0"/>
          <w:cols w:space="720"/>
          <w:titlePg/>
          <w:docGrid w:linePitch="360"/>
        </w:sectPr>
      </w:pPr>
    </w:p>
    <w:p w14:paraId="35C79CC7" w14:textId="77777777" w:rsidR="00CE73AE" w:rsidRDefault="00CE73AE" w:rsidP="00B82605">
      <w:pPr>
        <w:pStyle w:val="CGPC-elearning"/>
      </w:pPr>
      <w:r>
        <w:t>Une procédure collective est une procédure qui place une entreprise en difficulté sous contrôle judiciaire pour organiser le règlement de ses créances.</w:t>
      </w:r>
    </w:p>
    <w:p w14:paraId="45D65716" w14:textId="77777777" w:rsidR="00CE73AE" w:rsidRDefault="00CE73AE" w:rsidP="00B82605">
      <w:pPr>
        <w:pStyle w:val="CGPC-elearning"/>
      </w:pPr>
      <w:r>
        <w:t>L’insuffisance d’actif est le fait de ne pas disposer des sommes nécessaires au paiement total des créanciers.</w:t>
      </w:r>
    </w:p>
    <w:p w14:paraId="4AD7AF4C" w14:textId="77777777" w:rsidR="00CE73AE" w:rsidRDefault="00CE73AE" w:rsidP="00B82605">
      <w:pPr>
        <w:pStyle w:val="CGPC-elearning"/>
      </w:pPr>
      <w:r>
        <w:t>Dans le cadre de sanctions, le dirigeant peut être condamné à « combler » tout ou partie de l’insuffisance d’actif : en raison de fautes commises, il doit indemniser les créanciers en versant la somme entre les mains du liquidateur.</w:t>
      </w:r>
    </w:p>
    <w:p w14:paraId="4F6CDB50" w14:textId="77777777" w:rsidR="00CE73AE" w:rsidRDefault="00CE73AE" w:rsidP="00B82605">
      <w:pPr>
        <w:pStyle w:val="CGPC-elearning"/>
      </w:pPr>
      <w:r>
        <w:t>Plus précisément, ce qui est pris en considération pour apprécier la responsabilité du dirigeant, et le montant éventuel de sa condamnation, est avant tout le lien de causalité entre ses fautes de gestion et l’augmentation de l’insuffisance d’actif.</w:t>
      </w:r>
    </w:p>
    <w:p w14:paraId="1E266AB3" w14:textId="77777777" w:rsidR="00CE73AE" w:rsidRDefault="00CE73AE" w:rsidP="00B82605">
      <w:pPr>
        <w:pStyle w:val="CGPC-elearning"/>
      </w:pPr>
      <w:r>
        <w:t>Lorsque la liquidation judiciaire fait apparaître une insuffisance d’actif social, consécutive à une faute de gestion, le tribunal peut décider que les dettes de la personne morale seront supportées, en tout ou partie, avec ou sans solidarité, par les dirigeants de droit ou de fait, rémunérés ou non ou par uniquement certains d’entre eux (C. com., art. L. 651-2).</w:t>
      </w:r>
    </w:p>
    <w:p w14:paraId="42D81850" w14:textId="77777777" w:rsidR="00CE73AE" w:rsidRDefault="00CE73AE" w:rsidP="00B82605">
      <w:pPr>
        <w:pStyle w:val="CGPC-elearning"/>
      </w:pPr>
      <w:r>
        <w:t>Toutefois, depuis la loi dite « Sapin 2 » relative à la transparence, à la lutte contre la corruption et à la modernisation de la vie économique (L. n° 2016-1691, 9 déc. 2016, art. 146), le législateur est venu exonérer de sa responsabilité le dirigeant ayant commis une simple négligence dans la gestion de la personne morale.</w:t>
      </w:r>
      <w:r>
        <w:br/>
        <w:t xml:space="preserve">Ainsi, l’article 146 de la loi, dans un objectif d’encouragement de l’entreprenariat et de rebond des dirigeants de bonne foi, vient assouplir les modalités de l’engagement de la responsabilité du dirigeant en ajoutant qu’ « </w:t>
      </w:r>
      <w:r>
        <w:t>en cas de simple négligence du dirigeant de droit ou de fait dans la gestion de la société, sa responsabilité au titre de l’insuffisance d’actif ne peut être engagée ».</w:t>
      </w:r>
    </w:p>
    <w:p w14:paraId="7729933F" w14:textId="77777777" w:rsidR="00CE73AE" w:rsidRDefault="00CE73AE" w:rsidP="00B82605">
      <w:pPr>
        <w:pStyle w:val="CGPC-elearning"/>
      </w:pPr>
      <w:r>
        <w:t>Par ailleurs, l’article L. 651-2 du Code de commerce, modifié par la loi n° 2022-172 du 14 février 2022, précise que, « Lorsque la liquidation judiciaire a été ouverte ou prononcée à raison de l’activité d’un entrepreneur individuel à responsabilité limitée à laquelle un patrimoine est affecté, le tribunal peut, dans les mêmes conditions, condamner cet entrepreneur à payer tout ou partie de l’insuffisance d’actif. La somme mise à sa charge s’impute sur son patrimoine non affecté ».</w:t>
      </w:r>
    </w:p>
    <w:p w14:paraId="1102BE18" w14:textId="77777777" w:rsidR="00CE73AE" w:rsidRDefault="00CE73AE" w:rsidP="00B82605">
      <w:pPr>
        <w:pStyle w:val="CGPC-elearning"/>
      </w:pPr>
      <w:r>
        <w:t>Pour que la responsabilité du dirigeant ou de l’entrepreneur puisse être engagée, il est nécessaire que les deux conditions suivantes soient réunies :</w:t>
      </w:r>
    </w:p>
    <w:p w14:paraId="314348E8" w14:textId="77777777" w:rsidR="00CE73AE" w:rsidRDefault="00CE73AE" w:rsidP="00B82605">
      <w:pPr>
        <w:pStyle w:val="CGPC-elearning"/>
      </w:pPr>
      <w:r>
        <w:t>le dirigeant doit avoir commis une faute de gestion d’une certaine gravité ; s’il ne s’agit que d’une simple négligence dans la gestion, sa responsabilité ne pourra pas être engagée (voir supra). Cette faute peut par exemple être caractérisée par la poursuite déficitaire de l’activité de l’entreprise ou par l’absence de déclaration de cessation de paiements ;</w:t>
      </w:r>
    </w:p>
    <w:p w14:paraId="7D50A9DE" w14:textId="77777777" w:rsidR="00CE73AE" w:rsidRDefault="00CE73AE" w:rsidP="00B82605">
      <w:pPr>
        <w:pStyle w:val="CGPC-elearning"/>
      </w:pPr>
      <w:r>
        <w:t> la faute de gestion doit avoir contribué à l’insuffisance d’actif : il doit y avoir un lien de causalité entre la faute commise par le dirigeant et le fait qu’il reste des dettes après la liquidation judiciaire.</w:t>
      </w:r>
    </w:p>
    <w:p w14:paraId="1A91B5B1" w14:textId="77777777" w:rsidR="00A24546" w:rsidRDefault="00CE73AE" w:rsidP="00B82605">
      <w:pPr>
        <w:pStyle w:val="CGPC-elearning"/>
      </w:pPr>
      <w:r>
        <w:t>L’action en responsabilité peut être engagée par le ministère public ou le liquidateur dans les 3 ans qui suivent la clôture de la liquidation. C’est le tribunal qui a prononcé la clôture de la liquidation judiciaire pour insuffisance d’actif qui est compétent pour connaître de cette action.</w:t>
      </w:r>
    </w:p>
    <w:p w14:paraId="3732CC7D" w14:textId="77777777" w:rsidR="001E7313" w:rsidRDefault="001E7313" w:rsidP="00B82605">
      <w:pPr>
        <w:pStyle w:val="CGPC-elearning"/>
        <w:sectPr w:rsidR="001E7313" w:rsidSect="001E7313">
          <w:type w:val="continuous"/>
          <w:pgSz w:w="23811" w:h="16838" w:orient="landscape" w:code="8"/>
          <w:pgMar w:top="1440" w:right="1440" w:bottom="1440" w:left="1440" w:header="720" w:footer="720" w:gutter="0"/>
          <w:pgNumType w:start="0"/>
          <w:cols w:num="2" w:space="720"/>
          <w:titlePg/>
          <w:docGrid w:linePitch="360"/>
        </w:sectPr>
      </w:pPr>
    </w:p>
    <w:p w14:paraId="62F40D82" w14:textId="77777777" w:rsidR="00A24546" w:rsidRDefault="00A24546" w:rsidP="00B82605">
      <w:pPr>
        <w:pStyle w:val="CGPC-elearning"/>
      </w:pPr>
      <w:r>
        <w:br w:type="page"/>
      </w:r>
    </w:p>
    <w:p w14:paraId="60893F4E" w14:textId="43A8CA97" w:rsidR="001E7313" w:rsidRDefault="00CB39A6" w:rsidP="001E7313">
      <w:r>
        <w:rPr>
          <w:noProof/>
          <w14:ligatures w14:val="standardContextual"/>
        </w:rPr>
        <w:lastRenderedPageBreak/>
        <mc:AlternateContent>
          <mc:Choice Requires="wps">
            <w:drawing>
              <wp:anchor distT="0" distB="0" distL="114300" distR="114300" simplePos="0" relativeHeight="251667968" behindDoc="1" locked="0" layoutInCell="1" allowOverlap="1" wp14:anchorId="3D70D859" wp14:editId="420C80BA">
                <wp:simplePos x="0" y="0"/>
                <wp:positionH relativeFrom="column">
                  <wp:posOffset>-1238250</wp:posOffset>
                </wp:positionH>
                <wp:positionV relativeFrom="paragraph">
                  <wp:posOffset>-876300</wp:posOffset>
                </wp:positionV>
                <wp:extent cx="15601950" cy="10668000"/>
                <wp:effectExtent l="0" t="0" r="19050" b="19050"/>
                <wp:wrapNone/>
                <wp:docPr id="1115871300" name="Rectangle 6"/>
                <wp:cNvGraphicFramePr/>
                <a:graphic xmlns:a="http://schemas.openxmlformats.org/drawingml/2006/main">
                  <a:graphicData uri="http://schemas.microsoft.com/office/word/2010/wordprocessingShape">
                    <wps:wsp>
                      <wps:cNvSpPr/>
                      <wps:spPr>
                        <a:xfrm>
                          <a:off x="0" y="0"/>
                          <a:ext cx="15601950" cy="106680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03544E" id="Rectangle 6" o:spid="_x0000_s1026" style="position:absolute;margin-left:-97.5pt;margin-top:-69pt;width:1228.5pt;height:840pt;z-index:-25164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" fillcolor="#4472c4 [3204]" strokecolor="#09101d [484]" strokeweight="1pt"/>
            </w:pict>
          </mc:Fallback>
        </mc:AlternateContent>
      </w:r>
    </w:p>
    <w:p w14:paraId="38E45BD4" w14:textId="77777777" w:rsidR="001E7313" w:rsidRDefault="001E7313" w:rsidP="001E7313"/>
    <w:p w14:paraId="417F7A29" w14:textId="77777777" w:rsidR="001E7313" w:rsidRDefault="001E7313" w:rsidP="001E7313"/>
    <w:p w14:paraId="5478BC1F" w14:textId="77777777" w:rsidR="001E7313" w:rsidRDefault="001E7313" w:rsidP="001E7313"/>
    <w:p w14:paraId="43CEEB41" w14:textId="77777777" w:rsidR="001E7313" w:rsidRDefault="001E7313" w:rsidP="001E7313"/>
    <w:p w14:paraId="227ED424" w14:textId="77777777" w:rsidR="001E7313" w:rsidRDefault="001E7313" w:rsidP="001E7313"/>
    <w:p w14:paraId="09AA0838" w14:textId="77777777" w:rsidR="001E7313" w:rsidRDefault="001E7313" w:rsidP="001E7313"/>
    <w:p w14:paraId="2B5159D2" w14:textId="77777777" w:rsidR="001E7313" w:rsidRDefault="001E7313" w:rsidP="001E7313"/>
    <w:p w14:paraId="076FA8B7" w14:textId="77777777" w:rsidR="001E7313" w:rsidRDefault="001E7313" w:rsidP="001E7313"/>
    <w:p w14:paraId="47B715A2" w14:textId="6AEFAA93" w:rsidR="001E7313" w:rsidRPr="001E7313" w:rsidRDefault="00CE73AE" w:rsidP="001E7313">
      <w:pPr>
        <w:pStyle w:val="Titre2"/>
      </w:pPr>
      <w:bookmarkStart w:id="13" w:name="_Toc186713572"/>
      <w:r w:rsidRPr="001E7313">
        <w:t>De la protection du chef ou dirigeant d’entreprise</w:t>
      </w:r>
      <w:bookmarkEnd w:id="13"/>
    </w:p>
    <w:p w14:paraId="289F343B" w14:textId="77777777" w:rsidR="001E7313" w:rsidRDefault="001E7313" w:rsidP="001E7313">
      <w:pPr>
        <w:pStyle w:val="CGPC-elearning"/>
        <w:rPr>
          <w:rFonts w:eastAsiaTheme="majorEastAsia"/>
          <w:color w:val="3A5D9C"/>
          <w:sz w:val="48"/>
          <w:szCs w:val="26"/>
          <w:bdr w:val="none" w:sz="0" w:space="0" w:color="auto" w:frame="1"/>
        </w:rPr>
      </w:pPr>
      <w:r>
        <w:br w:type="page"/>
      </w:r>
    </w:p>
    <w:p w14:paraId="1F67EC2E" w14:textId="77777777" w:rsidR="00CE73AE" w:rsidRPr="00B82605" w:rsidRDefault="00CE73AE" w:rsidP="00B82605">
      <w:pPr>
        <w:pStyle w:val="Titre3"/>
        <w:numPr>
          <w:ilvl w:val="0"/>
          <w:numId w:val="21"/>
        </w:numPr>
        <w:rPr>
          <w:szCs w:val="36"/>
        </w:rPr>
      </w:pPr>
      <w:bookmarkStart w:id="14" w:name="_Toc186713573"/>
      <w:r>
        <w:lastRenderedPageBreak/>
        <w:t>Protection de l’entrepreneur individuel</w:t>
      </w:r>
      <w:bookmarkEnd w:id="14"/>
    </w:p>
    <w:p w14:paraId="70DC6E69" w14:textId="77777777" w:rsidR="005F0B22" w:rsidRDefault="005F0B22"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DCA757D" w14:textId="77777777" w:rsidR="001E7313" w:rsidRDefault="001E7313" w:rsidP="00B82605">
      <w:pPr>
        <w:pStyle w:val="CGPC-elearning"/>
        <w:sectPr w:rsidR="001E7313" w:rsidSect="001E7313">
          <w:type w:val="continuous"/>
          <w:pgSz w:w="23811" w:h="16838" w:orient="landscape" w:code="8"/>
          <w:pgMar w:top="1440" w:right="1440" w:bottom="1440" w:left="1440" w:header="720" w:footer="720" w:gutter="0"/>
          <w:pgNumType w:start="0"/>
          <w:cols w:space="720"/>
          <w:titlePg/>
          <w:docGrid w:linePitch="360"/>
        </w:sectPr>
      </w:pPr>
    </w:p>
    <w:p w14:paraId="538499D8" w14:textId="77777777" w:rsidR="00CE73AE" w:rsidRDefault="00CE73AE" w:rsidP="00B82605">
      <w:pPr>
        <w:pStyle w:val="CGPC-elearning"/>
      </w:pPr>
      <w:r>
        <w:t>L’avantage principal du nouveau statut de l’entreprise individuelle réside dans le fait que le patrimoine personnel de l’entrepreneur devient par défaut insaisissable par les créanciers professionnels, alors qu’avant seule la résidence principale était protégée en cas de recours à une EIRL.</w:t>
      </w:r>
    </w:p>
    <w:p w14:paraId="210EDC4C" w14:textId="77777777" w:rsidR="00CE73AE" w:rsidRDefault="00CE73AE" w:rsidP="00B82605">
      <w:pPr>
        <w:pStyle w:val="CGPC-elearning"/>
      </w:pPr>
      <w:r>
        <w:t>Seuls les éléments nécessaires à l’activité professionnelle de l’entrepreneur (voir infra) peuvent donc aujourd’hui être saisis en cas de défaillance professionnelle. La séparation des patrimoines s’effectue automatiquement, sans démarche administrative ou information des créanciers.</w:t>
      </w:r>
    </w:p>
    <w:p w14:paraId="52260781" w14:textId="77777777" w:rsidR="00CE73AE" w:rsidRDefault="00CE73AE" w:rsidP="00B82605">
      <w:pPr>
        <w:pStyle w:val="CGPC-elearning"/>
      </w:pPr>
      <w:r>
        <w:t>La loi prévoit cependant des exceptions à la séparation entre patrimoine professionnel et personnel en matières fiscale et sociale, notamment pour le paiement de l’impôt sur le revenu et de certaines contributions et cotisations sociales. Les créances ainsi concernées sont susceptibles d’être recouvrées sur l’un ou l’autre des patrimoines ou les deux.</w:t>
      </w:r>
    </w:p>
    <w:p w14:paraId="17FACD09" w14:textId="77777777" w:rsidR="00CE73AE" w:rsidRDefault="00CE73AE" w:rsidP="00B82605">
      <w:pPr>
        <w:pStyle w:val="CGPC-elearning"/>
      </w:pPr>
      <w:r>
        <w:t>L’entrepreneur individuel peut donner en garantie à un créancier à titre professionnel certains biens personnels. Il peut également, à l’occasion d’un engagement professionnel spécifique, renoncer, sous conditions fixées par un décret n° 2022-799 du 12 mai 2022, à la protection de son patrimoine personnel, pour le seul créancier vis-à-vis duquel il conclut cet engagement, et pour la durée de celui-ci.</w:t>
      </w:r>
    </w:p>
    <w:p w14:paraId="0B989EB3" w14:textId="77777777" w:rsidR="00CE73AE" w:rsidRPr="0078156D" w:rsidRDefault="00CE73AE" w:rsidP="00B82605">
      <w:pPr>
        <w:pStyle w:val="CGPC-elearning"/>
        <w:rPr>
          <w:b/>
        </w:rPr>
      </w:pPr>
      <w:r>
        <w:rPr>
          <w:noProof/>
          <w:lang w:eastAsia="fr-FR"/>
        </w:rPr>
        <w:drawing>
          <wp:inline distT="0" distB="0" distL="0" distR="0" wp14:anchorId="7334B69A" wp14:editId="484E1DEB">
            <wp:extent cx="189865" cy="189865"/>
            <wp:effectExtent l="0" t="0" r="635" b="635"/>
            <wp:docPr id="955356167" name="Image 21"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56167" name="Image 21" descr="Une image contenant jaune, ligne, Graphique, conception&#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w:t>
      </w:r>
      <w:r>
        <w:rPr>
          <w:rStyle w:val="lev"/>
          <w:i/>
          <w:iCs/>
          <w:color w:val="666666"/>
          <w:sz w:val="21"/>
          <w:szCs w:val="21"/>
          <w:u w:val="single"/>
        </w:rPr>
        <w:t>Nota :</w:t>
      </w:r>
      <w:r>
        <w:rPr>
          <w:rStyle w:val="Accentuation"/>
          <w:color w:val="666666"/>
          <w:sz w:val="21"/>
          <w:szCs w:val="21"/>
        </w:rPr>
        <w:t> </w:t>
      </w:r>
      <w:r w:rsidRPr="0078156D">
        <w:rPr>
          <w:rStyle w:val="Accentuation"/>
          <w:b/>
          <w:color w:val="666666"/>
          <w:sz w:val="21"/>
          <w:szCs w:val="21"/>
        </w:rPr>
        <w:t>pour les entreprises individuelles créées avant l’entrée en vigueur de la loi, la dissociation des patrimoines personnel et professionnel ne s’appliquera qu’aux créances nées après le 15 mai 2022.</w:t>
      </w:r>
    </w:p>
    <w:p w14:paraId="790CF6FD" w14:textId="77777777" w:rsidR="0078156D" w:rsidRDefault="0078156D" w:rsidP="00B82605">
      <w:pPr>
        <w:pStyle w:val="CGPC-elearning"/>
      </w:pPr>
    </w:p>
    <w:p w14:paraId="016C506F" w14:textId="77777777" w:rsidR="00CE73AE" w:rsidRDefault="00CE73AE" w:rsidP="00B82605">
      <w:pPr>
        <w:pStyle w:val="CGPC-elearning"/>
      </w:pPr>
      <w:r>
        <w:t>Le patrimoine professionnel de l’entrepreneur comprend les biens, droits, obligations et sûretés dont est titulaire l’entrepreneur et qui servent à son activité professionnelle :</w:t>
      </w:r>
    </w:p>
    <w:p w14:paraId="33566401" w14:textId="77777777" w:rsidR="00CE73AE" w:rsidRDefault="00CE73AE" w:rsidP="00B82605">
      <w:pPr>
        <w:pStyle w:val="CGPC-elearning"/>
      </w:pPr>
      <w:r>
        <w:t>le fonds de commerce, le fonds artisanal, le fonds agricole, tous les biens corporels ou incorporels qui les constituent et les droits y afférents ainsi que le droit de présentation de la clientèle d’un professionnel libéral ;</w:t>
      </w:r>
    </w:p>
    <w:p w14:paraId="14473E41" w14:textId="77777777" w:rsidR="00CE73AE" w:rsidRDefault="00CE73AE" w:rsidP="00B82605">
      <w:pPr>
        <w:pStyle w:val="CGPC-elearning"/>
      </w:pPr>
      <w:r>
        <w:t>les biens meubles comme la marchandise, le matériel et l’outillage, le matériel agricole, ainsi que les moyens de mobilité pour les activités itinérantes comme la vente ou les prestations à domicile, les activités de transport ou de livraison ;</w:t>
      </w:r>
    </w:p>
    <w:p w14:paraId="0C2BF1F6" w14:textId="77777777" w:rsidR="00CE73AE" w:rsidRDefault="00CE73AE" w:rsidP="00B82605">
      <w:pPr>
        <w:pStyle w:val="CGPC-elearning"/>
      </w:pPr>
      <w:r>
        <w:t>les biens immeubles servant à l’activité, y compris la partie de la résidence principale de l’entrepreneur individuel utilisée pour un usage professionnel. Lorsque ces immeubles sont détenus par une société dont l’entrepreneur individuel est actionnaire ou associé et qui a pour activité principale leur mise à disposition au profit de l’entrepreneur individuel, les actions ou parts d’une telle société font partie du patrimoine professionnel ;</w:t>
      </w:r>
    </w:p>
    <w:p w14:paraId="0CEE17E4" w14:textId="77777777" w:rsidR="00CE73AE" w:rsidRDefault="00CE73AE" w:rsidP="00B82605">
      <w:pPr>
        <w:pStyle w:val="CGPC-elearning"/>
      </w:pPr>
      <w:r>
        <w:t>les biens incorporels comme les données relatives aux clients, les brevets d’invention, les licences, les marques, les dessins et modèles, et plus généralement les droits de propriété intellectuelle, le nom commercial et l’enseigne ;</w:t>
      </w:r>
    </w:p>
    <w:p w14:paraId="2517336D" w14:textId="77777777" w:rsidR="00CE73AE" w:rsidRDefault="00CE73AE" w:rsidP="00B82605">
      <w:pPr>
        <w:pStyle w:val="CGPC-elearning"/>
      </w:pPr>
      <w:r>
        <w:t>les fonds de caisse, toute somme en numéraire conservée sur le lieu d’exercice de l’activité professionnelle, les sommes inscrites aux comptes bancaires dédiés à cette activité ainsi que les sommes destinées à pourvoir aux dépenses courantes relatives à cette même activité.</w:t>
      </w:r>
    </w:p>
    <w:p w14:paraId="1B0A06D1" w14:textId="77777777" w:rsidR="001E7313" w:rsidRDefault="001E7313" w:rsidP="00B82605">
      <w:pPr>
        <w:pStyle w:val="CGPC-elearning"/>
        <w:sectPr w:rsidR="001E7313" w:rsidSect="001E7313">
          <w:type w:val="continuous"/>
          <w:pgSz w:w="23811" w:h="16838" w:orient="landscape" w:code="8"/>
          <w:pgMar w:top="1440" w:right="1440" w:bottom="1440" w:left="1440" w:header="720" w:footer="720" w:gutter="0"/>
          <w:pgNumType w:start="0"/>
          <w:cols w:num="2" w:space="720"/>
          <w:titlePg/>
          <w:docGrid w:linePitch="360"/>
        </w:sectPr>
      </w:pPr>
    </w:p>
    <w:p w14:paraId="061C912A" w14:textId="77777777" w:rsidR="005F0B22" w:rsidRDefault="005F0B22" w:rsidP="00B82605">
      <w:pPr>
        <w:pStyle w:val="CGPC-elearning"/>
      </w:pPr>
    </w:p>
    <w:p w14:paraId="10F9A8B4" w14:textId="6AB44190" w:rsidR="001E7313" w:rsidRDefault="001E7313">
      <w:pPr>
        <w:jc w:val="left"/>
        <w:rPr>
          <w:rFonts w:cs="Open Sans"/>
          <w:bCs/>
          <w:kern w:val="2"/>
          <w:szCs w:val="36"/>
          <w14:ligatures w14:val="standardContextual"/>
        </w:rPr>
      </w:pPr>
      <w:r>
        <w:br w:type="page"/>
      </w:r>
    </w:p>
    <w:p w14:paraId="54C9B235" w14:textId="77777777" w:rsidR="00CE73AE" w:rsidRDefault="00CE73AE" w:rsidP="00B82605">
      <w:pPr>
        <w:pStyle w:val="Titre3"/>
        <w:rPr>
          <w:szCs w:val="36"/>
        </w:rPr>
      </w:pPr>
      <w:bookmarkStart w:id="15" w:name="_Toc186713574"/>
      <w:r>
        <w:lastRenderedPageBreak/>
        <w:t>Optimisation de la protection à travers le choix de la forme sociétaire</w:t>
      </w:r>
      <w:bookmarkEnd w:id="15"/>
    </w:p>
    <w:p w14:paraId="58C66EE9" w14:textId="77777777" w:rsidR="005F0B22" w:rsidRDefault="005F0B22"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F99C619" w14:textId="77777777" w:rsidR="00CE73AE" w:rsidRDefault="00CE73AE" w:rsidP="00B82605">
      <w:pPr>
        <w:pStyle w:val="CGPC-elearning"/>
      </w:pPr>
      <w:r>
        <w:t>La question des modalités de protection du patrimoine personnel d’un entrepreneur est à régler au moment du choix du statut juridique, avant même de mobiliser ses premières ressources financières.</w:t>
      </w:r>
    </w:p>
    <w:p w14:paraId="595184AC" w14:textId="77777777" w:rsidR="00CE73AE" w:rsidRDefault="00CE73AE" w:rsidP="00B82605">
      <w:pPr>
        <w:pStyle w:val="CGPC-elearning"/>
      </w:pPr>
      <w:r>
        <w:t>Cette protection du patrimoine personnel est assurée par un certain nombre de dispositions légales, qui varient en fonction du statut juridique de l’entreprise.</w:t>
      </w:r>
    </w:p>
    <w:p w14:paraId="275BA14A" w14:textId="77777777" w:rsidR="00CE73AE" w:rsidRDefault="00CE73AE" w:rsidP="00B82605">
      <w:pPr>
        <w:pStyle w:val="CGPC-elearning"/>
      </w:pPr>
      <w:r>
        <w:t>Une société (SARL, EURL, SASU, SAS, SA), considérée comme une personne morale, bénéficie d’un patrimoine propre et séparé du patrimoine personnel du dirigeant.</w:t>
      </w:r>
    </w:p>
    <w:p w14:paraId="01474F74" w14:textId="77777777" w:rsidR="00CE73AE" w:rsidRDefault="00CE73AE" w:rsidP="00B82605">
      <w:pPr>
        <w:pStyle w:val="CGPC-elearning"/>
      </w:pPr>
      <w:r>
        <w:t>En cas de problème, la responsabilité du créateur de l’entreprise est limitée à ses apports en :</w:t>
      </w:r>
    </w:p>
    <w:p w14:paraId="27BFD821" w14:textId="77777777" w:rsidR="00CE73AE" w:rsidRDefault="007C5194" w:rsidP="00B82605">
      <w:pPr>
        <w:pStyle w:val="CGPC-elearning"/>
      </w:pPr>
      <w:r>
        <w:t xml:space="preserve">- </w:t>
      </w:r>
      <w:r w:rsidR="00CE73AE">
        <w:t>capital social ;</w:t>
      </w:r>
    </w:p>
    <w:p w14:paraId="05D32C4E" w14:textId="77777777" w:rsidR="00CE73AE" w:rsidRDefault="007C5194" w:rsidP="00B82605">
      <w:pPr>
        <w:pStyle w:val="CGPC-elearning"/>
      </w:pPr>
      <w:r>
        <w:t xml:space="preserve">- </w:t>
      </w:r>
      <w:r w:rsidR="00CE73AE">
        <w:t>compte courant d’associé.</w:t>
      </w:r>
    </w:p>
    <w:p w14:paraId="115761CD" w14:textId="77777777" w:rsidR="007C5194" w:rsidRDefault="007C5194" w:rsidP="00B82605">
      <w:pPr>
        <w:pStyle w:val="CGPC-elearning"/>
      </w:pPr>
    </w:p>
    <w:p w14:paraId="604FACCE" w14:textId="77777777" w:rsidR="00CE73AE" w:rsidRDefault="00CE73AE" w:rsidP="00B82605">
      <w:pPr>
        <w:pStyle w:val="CGPC-elearning"/>
      </w:pPr>
      <w:r>
        <w:t>Il existe plusieurs exceptions à cette limitation de responsabilité (voir supra les responsabilités du dirigeant de société) :</w:t>
      </w:r>
    </w:p>
    <w:p w14:paraId="6BA54D49" w14:textId="77777777" w:rsidR="00CE73AE" w:rsidRDefault="007C5194" w:rsidP="00B82605">
      <w:pPr>
        <w:pStyle w:val="CGPC-elearning"/>
      </w:pPr>
      <w:r>
        <w:t xml:space="preserve">- </w:t>
      </w:r>
      <w:r w:rsidR="00CE73AE">
        <w:t>le créateur de la société se porte personnellement caution dans le cadre d’une garantie personnelle ou d’un emprunt bancaire ;</w:t>
      </w:r>
    </w:p>
    <w:p w14:paraId="3F92E800" w14:textId="77777777" w:rsidR="00CE73AE" w:rsidRDefault="007C5194" w:rsidP="00B82605">
      <w:pPr>
        <w:pStyle w:val="CGPC-elearning"/>
      </w:pPr>
      <w:r>
        <w:t xml:space="preserve">- </w:t>
      </w:r>
      <w:r w:rsidR="00CE73AE">
        <w:t>le dirigeant a commis une faute de gestion dans l’exercice de ses fonctions ;</w:t>
      </w:r>
    </w:p>
    <w:p w14:paraId="01DB12DC" w14:textId="77777777" w:rsidR="00CE73AE" w:rsidRDefault="007C5194" w:rsidP="00B82605">
      <w:pPr>
        <w:pStyle w:val="CGPC-elearning"/>
      </w:pPr>
      <w:r>
        <w:t xml:space="preserve">- </w:t>
      </w:r>
      <w:r w:rsidR="00CE73AE">
        <w:t>il a été l’auteur de manœuvres frauduleuses ;</w:t>
      </w:r>
    </w:p>
    <w:p w14:paraId="4C6F20A4" w14:textId="77777777" w:rsidR="00CE73AE" w:rsidRDefault="007C5194" w:rsidP="00B82605">
      <w:pPr>
        <w:pStyle w:val="CGPC-elearning"/>
      </w:pPr>
      <w:r>
        <w:t xml:space="preserve">- </w:t>
      </w:r>
      <w:r w:rsidR="00CE73AE">
        <w:t>il est condamné à payer les dettes fiscales de la société.</w:t>
      </w:r>
    </w:p>
    <w:p w14:paraId="5E441F8D" w14:textId="77777777" w:rsidR="005F0B22" w:rsidRDefault="005F0B22" w:rsidP="00B82605">
      <w:pPr>
        <w:pStyle w:val="CGPC-elearning"/>
      </w:pPr>
    </w:p>
    <w:p w14:paraId="767B4B3F" w14:textId="77777777" w:rsidR="00CE73AE" w:rsidRDefault="00CE73AE" w:rsidP="001E7313">
      <w:pPr>
        <w:pStyle w:val="Titre4"/>
        <w:numPr>
          <w:ilvl w:val="0"/>
          <w:numId w:val="22"/>
        </w:numPr>
      </w:pPr>
      <w:bookmarkStart w:id="16" w:name="_Toc186713575"/>
      <w:r>
        <w:t>L’impact du choix de la forme juridique sur la responsabilité financière du dirigeant</w:t>
      </w:r>
      <w:bookmarkEnd w:id="16"/>
    </w:p>
    <w:p w14:paraId="7302A6B8" w14:textId="77777777" w:rsidR="00CE73AE" w:rsidRDefault="00CE73AE" w:rsidP="00CB39A6">
      <w:pPr>
        <w:pStyle w:val="Titre5"/>
        <w:numPr>
          <w:ilvl w:val="0"/>
          <w:numId w:val="23"/>
        </w:numPr>
      </w:pPr>
      <w:r>
        <w:t>Dans une EIRL</w:t>
      </w:r>
    </w:p>
    <w:p w14:paraId="47C2E458" w14:textId="77777777" w:rsidR="00CE73AE" w:rsidRDefault="00CE73AE" w:rsidP="00B82605">
      <w:pPr>
        <w:pStyle w:val="CGPC-elearning"/>
      </w:pPr>
      <w:r>
        <w:t>Dans l’entreprise individuelle à responsabilité limitée, la responsabilité du dirigeant est limitée par la constitution d’un patrimoine d’affectation dédié à son activité professionnelle.</w:t>
      </w:r>
      <w:r>
        <w:br/>
        <w:t>En d’autres termes, le patrimoine personnel du dirigeant n’est pas engagé si l’entreprise rencontre des difficultés. Les créanciers professionnels ne peuvent pas saisir le patrimoine personnel, mais seulement le patrimoine affecté à l’EIRL.</w:t>
      </w:r>
    </w:p>
    <w:p w14:paraId="1ABED56B" w14:textId="77777777" w:rsidR="00CE73AE" w:rsidRDefault="00CE73AE" w:rsidP="00B82605">
      <w:pPr>
        <w:pStyle w:val="CGPC-elearning"/>
      </w:pPr>
      <w:r>
        <w:t>Rappelons que, depuis le 14 février 2022, il n’est plus possible de créer une EIRL ni de modifier le patrimoine d’affectation.</w:t>
      </w:r>
    </w:p>
    <w:p w14:paraId="260E2E5C" w14:textId="77777777" w:rsidR="00CE73AE" w:rsidRDefault="00CE73AE" w:rsidP="00CB39A6">
      <w:pPr>
        <w:pStyle w:val="Titre5"/>
        <w:numPr>
          <w:ilvl w:val="0"/>
          <w:numId w:val="23"/>
        </w:numPr>
      </w:pPr>
      <w:r>
        <w:lastRenderedPageBreak/>
        <w:t>En SARL/EURL</w:t>
      </w:r>
    </w:p>
    <w:p w14:paraId="091533A7" w14:textId="77777777" w:rsidR="00CE73AE" w:rsidRDefault="00CE73AE" w:rsidP="00B82605">
      <w:pPr>
        <w:pStyle w:val="CGPC-elearning"/>
      </w:pPr>
      <w:r>
        <w:t>Dans cette structure juridique, l’entreprise est une personne morale disposant de son propre patrimoine constitué par le capital social.</w:t>
      </w:r>
    </w:p>
    <w:p w14:paraId="0D6B31F0" w14:textId="77777777" w:rsidR="00CE73AE" w:rsidRDefault="00CE73AE" w:rsidP="00B82605">
      <w:pPr>
        <w:pStyle w:val="CGPC-elearning"/>
      </w:pPr>
      <w:r>
        <w:t>La responsabilité financière des associés pour les SARL ou bien de l’associé unique dans l’EURL est limitée aux apports faits à la société. Autrement dit, le patrimoine de la société est séparé du patrimoine personnel du dirigeant.</w:t>
      </w:r>
    </w:p>
    <w:p w14:paraId="6467745D" w14:textId="77777777" w:rsidR="00CE73AE" w:rsidRDefault="00CE73AE" w:rsidP="00B82605">
      <w:pPr>
        <w:pStyle w:val="CGPC-elearning"/>
      </w:pPr>
      <w:r>
        <w:t>La responsabilité limitée en SARL entraîne donc l’impossibilité de saisir les biens personnels d’un gérant lorsque la société est en liquidation judiciaire.</w:t>
      </w:r>
    </w:p>
    <w:p w14:paraId="6FE80C1E" w14:textId="77777777" w:rsidR="00CE73AE" w:rsidRDefault="00CE73AE" w:rsidP="00CB39A6">
      <w:pPr>
        <w:pStyle w:val="Titre5"/>
        <w:numPr>
          <w:ilvl w:val="0"/>
          <w:numId w:val="23"/>
        </w:numPr>
      </w:pPr>
      <w:r>
        <w:t>En SASU/SAS</w:t>
      </w:r>
    </w:p>
    <w:p w14:paraId="3425D02A" w14:textId="77777777" w:rsidR="00CE73AE" w:rsidRDefault="00CE73AE" w:rsidP="00B82605">
      <w:pPr>
        <w:pStyle w:val="CGPC-elearning"/>
      </w:pPr>
      <w:r>
        <w:t>De même, la responsabilité des associés pour les SAS ou la responsabilité de l’associé unique des SASU est limitée aux apports faits à la société.</w:t>
      </w:r>
    </w:p>
    <w:p w14:paraId="29AF9913" w14:textId="77777777" w:rsidR="007C5194" w:rsidRDefault="00CE73AE" w:rsidP="00B82605">
      <w:pPr>
        <w:pStyle w:val="CGPC-elearning"/>
      </w:pPr>
      <w:r>
        <w:t>Le patrimoine privé du dirigeant est protégé. Les créanciers de la société ne pourront pas les saisir en cas de faillite.</w:t>
      </w:r>
    </w:p>
    <w:p w14:paraId="5090421F" w14:textId="77777777" w:rsidR="00CE73AE" w:rsidRDefault="00CE73AE" w:rsidP="00B82605">
      <w:pPr>
        <w:pStyle w:val="CGPC-elearning"/>
      </w:pPr>
      <w:r>
        <w:t>Notons toutefois que la responsabilité des dirigeants peut être étendue dans certains cas, tels que la faute de gestion par le dirigeant ou la violation des statuts de la société.</w:t>
      </w:r>
    </w:p>
    <w:p w14:paraId="49457F65" w14:textId="77777777" w:rsidR="00CD36D8" w:rsidRDefault="00CD36D8"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0A352142" w14:textId="77777777" w:rsidR="007C5194" w:rsidRDefault="007C5194" w:rsidP="00CE73A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349931B" w14:textId="77777777" w:rsidR="00CE73AE" w:rsidRDefault="00CE73AE" w:rsidP="00B82605">
      <w:pPr>
        <w:pStyle w:val="Titre3"/>
      </w:pPr>
      <w:bookmarkStart w:id="17" w:name="_Toc186713576"/>
      <w:r>
        <w:t>Association du conjoint et conséquences patrimoniales du divorce</w:t>
      </w:r>
      <w:bookmarkEnd w:id="17"/>
    </w:p>
    <w:p w14:paraId="32CC4DEC" w14:textId="164B0464" w:rsidR="00CE73AE" w:rsidRDefault="00CE73AE" w:rsidP="00CE73AE">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62D61E37" w14:textId="77777777" w:rsidR="007C5194" w:rsidRDefault="007C5194" w:rsidP="00B82605">
      <w:pPr>
        <w:pStyle w:val="CGPC-elearning"/>
      </w:pPr>
    </w:p>
    <w:p w14:paraId="4B5208C2" w14:textId="77777777" w:rsidR="00CE73AE" w:rsidRDefault="00CE73AE" w:rsidP="00B82605">
      <w:pPr>
        <w:pStyle w:val="CGPC-elearning"/>
      </w:pPr>
      <w:r>
        <w:t>Les conséquences du divorce pour les époux associés diffèrent selon le régime matrimonial.</w:t>
      </w:r>
    </w:p>
    <w:p w14:paraId="2526E015" w14:textId="77777777" w:rsidR="007C5194" w:rsidRDefault="007C5194" w:rsidP="00B82605">
      <w:pPr>
        <w:pStyle w:val="CGPC-elearning"/>
      </w:pPr>
    </w:p>
    <w:p w14:paraId="5F6F44CB" w14:textId="77777777" w:rsidR="00CE73AE" w:rsidRDefault="00CE73AE" w:rsidP="001E7313">
      <w:pPr>
        <w:pStyle w:val="Titre4"/>
        <w:numPr>
          <w:ilvl w:val="0"/>
          <w:numId w:val="24"/>
        </w:numPr>
      </w:pPr>
      <w:bookmarkStart w:id="18" w:name="_Toc186713577"/>
      <w:r>
        <w:t>Sous le régime de la communauté de biens réduite aux acquêts</w:t>
      </w:r>
      <w:bookmarkEnd w:id="18"/>
    </w:p>
    <w:p w14:paraId="4AAEFE4E" w14:textId="77777777" w:rsidR="00CE73AE" w:rsidRDefault="00CE73AE" w:rsidP="00B82605">
      <w:pPr>
        <w:pStyle w:val="CGPC-elearning"/>
      </w:pPr>
      <w:r>
        <w:t>Lorsque le chef d’entreprise est marié sous le régime légal de la communauté de biens réduite aux acquêts, les règles de ce dernier impactent celles du droit des sociétés. Les conséquences sur l’entreprise sont lourdes si ces difficultés ne sont pas anticipées, notamment dans le cas d’une procédure de divorce.</w:t>
      </w:r>
    </w:p>
    <w:p w14:paraId="365ED904" w14:textId="77777777" w:rsidR="00CE73AE" w:rsidRDefault="00CE73AE" w:rsidP="00B82605">
      <w:pPr>
        <w:pStyle w:val="CGPC-elearning"/>
      </w:pPr>
      <w:r>
        <w:rPr>
          <w:rStyle w:val="lev"/>
          <w:color w:val="666666"/>
          <w:sz w:val="21"/>
          <w:szCs w:val="21"/>
        </w:rPr>
        <w:t>Droits et pouvoirs du conjoint du dirigeant sur la société de son époux</w:t>
      </w:r>
    </w:p>
    <w:p w14:paraId="6FB850C2" w14:textId="77777777" w:rsidR="00CE73AE" w:rsidRDefault="00CE73AE" w:rsidP="00B82605">
      <w:pPr>
        <w:pStyle w:val="CGPC-elearning"/>
      </w:pPr>
      <w:r>
        <w:t>Lorsque des titres de société ont été acquis pendant le mariage, et qu’ils dépendent donc de la communauté, ils appartiennent virtuellement pour moitié au conjoint du chef d’entreprise, sans que celui-ci en ait nécessairement conscience.</w:t>
      </w:r>
    </w:p>
    <w:p w14:paraId="0CFF084F" w14:textId="77777777" w:rsidR="00CE73AE" w:rsidRDefault="00CE73AE" w:rsidP="00B82605">
      <w:pPr>
        <w:pStyle w:val="CGPC-elearning"/>
      </w:pPr>
      <w:r>
        <w:lastRenderedPageBreak/>
        <w:t>Lors de l’acquisition d’une société aux parts non négociables (SARL, SNC, société en commandite simple, société civile) avec des fonds communs, l’époux acquéreur doit obligatoirement en informer son conjoint.</w:t>
      </w:r>
    </w:p>
    <w:p w14:paraId="2EEE6C7B" w14:textId="77777777" w:rsidR="00CE73AE" w:rsidRDefault="00CE73AE" w:rsidP="00B82605">
      <w:pPr>
        <w:pStyle w:val="CGPC-elearning"/>
      </w:pPr>
      <w:r>
        <w:t>En principe, même si ces parts sociales sont communes, le chef d’entreprise a seul la qualité d’associé, et donc seul le droit de participer à la vie de la société. Cependant, son conjoint peut revendiquer la qualité d’associé, par une notification faite auprès de la société.</w:t>
      </w:r>
    </w:p>
    <w:p w14:paraId="0BC483DA" w14:textId="77777777" w:rsidR="00CE73AE" w:rsidRDefault="00CE73AE" w:rsidP="00B82605">
      <w:pPr>
        <w:pStyle w:val="CGPC-elearning"/>
      </w:pPr>
      <w:r>
        <w:t>Une fois cette revendication effectuée, le conjoint devient associé à part entière de la société pour la moitié des parts sociales détenues par le chef d’entreprise. Le conjoint disposera donc d’un droit à l’information concernant la société, d’un droit de participer aux assemblées et sera seul titulaire du droit de vote pour les parts sociales concernées. La revendication de la qualité d’associé est possible jusqu’à ce que le divorce soit prononcé, et peut donc être utilisé comme moyen de pression contre l’époux chef d’entreprise en cas de séparation. Cela peut mener à une situation de blocage, voire à une implosion de la société pour désaccord entre associés.</w:t>
      </w:r>
    </w:p>
    <w:p w14:paraId="0D02FB85" w14:textId="77777777" w:rsidR="00CE73AE" w:rsidRDefault="00CE73AE" w:rsidP="00B82605">
      <w:pPr>
        <w:pStyle w:val="CGPC-elearning"/>
      </w:pPr>
      <w:r>
        <w:t>Il est possible d’éviter cette situation au moment de la rédaction des statuts de la société, en insérant une clause d’agrément. Cette clause soumet l’obtention du statut d’associé par l’époux intéressé à l’accord des associés déjà en place. C’est ce que stipule l’article 1832-2 du Code civil.</w:t>
      </w:r>
    </w:p>
    <w:p w14:paraId="4677CF12" w14:textId="77777777" w:rsidR="00CE73AE" w:rsidRDefault="00CE73AE" w:rsidP="00B82605">
      <w:pPr>
        <w:pStyle w:val="CGPC-elearning"/>
      </w:pPr>
      <w:r>
        <w:t>Par ailleurs, lorsque le dirigeant marié sous le régime de la communauté souhaite vendre sa société et que les parts sociales non négociables sont communes, la vente est impossible sans l’accord du conjoint, quand bien même ce dernier n’aurait jamais revendiqué la qualité d’associé. En effet, la cession de parts sociales non négociables fait partie des actes soumis à cogestion.</w:t>
      </w:r>
    </w:p>
    <w:p w14:paraId="7D4FB064" w14:textId="77777777" w:rsidR="007C5194" w:rsidRDefault="00CE73AE" w:rsidP="00B82605">
      <w:pPr>
        <w:pStyle w:val="CGPC-elearning"/>
        <w:rPr>
          <w:rStyle w:val="Accentuation"/>
          <w:b/>
          <w:color w:val="666666"/>
          <w:sz w:val="21"/>
          <w:szCs w:val="21"/>
        </w:rPr>
      </w:pPr>
      <w:r w:rsidRPr="007C5194">
        <w:rPr>
          <w:rStyle w:val="Accentuation"/>
          <w:b/>
          <w:color w:val="666666"/>
          <w:sz w:val="21"/>
          <w:szCs w:val="21"/>
        </w:rPr>
        <w:t>Ainsi, il apparaît que le chef d’entreprise dirigeant, marié sous le régime de la communauté légale, expose sa société à des risques importants, qu’il est indispensable d’anticiper, en amont par la conclusion d’un contrat de mariage ou l’adoption de clauses statutaires spécifiques, ou pendant le mariage par le choix de la forme sociale appropriée</w:t>
      </w:r>
      <w:r w:rsidR="007C5194">
        <w:rPr>
          <w:rStyle w:val="Accentuation"/>
          <w:b/>
          <w:color w:val="666666"/>
          <w:sz w:val="21"/>
          <w:szCs w:val="21"/>
        </w:rPr>
        <w:t>.</w:t>
      </w:r>
    </w:p>
    <w:p w14:paraId="752ED7C6" w14:textId="77777777" w:rsidR="00CE73AE" w:rsidRPr="007C5194" w:rsidRDefault="00CE73AE" w:rsidP="00B82605">
      <w:pPr>
        <w:pStyle w:val="CGPC-elearning"/>
        <w:rPr>
          <w:b/>
        </w:rPr>
      </w:pPr>
      <w:r w:rsidRPr="007C5194">
        <w:rPr>
          <w:rStyle w:val="Accentuation"/>
          <w:b/>
          <w:color w:val="666666"/>
          <w:sz w:val="21"/>
          <w:szCs w:val="21"/>
        </w:rPr>
        <w:t>.</w:t>
      </w:r>
    </w:p>
    <w:p w14:paraId="2118B30E" w14:textId="77777777" w:rsidR="00CE73AE" w:rsidRDefault="00CE73AE" w:rsidP="001E7313">
      <w:pPr>
        <w:pStyle w:val="Titre4"/>
      </w:pPr>
      <w:bookmarkStart w:id="19" w:name="_Toc186713578"/>
      <w:r>
        <w:t>Sous le régime de la séparation</w:t>
      </w:r>
      <w:bookmarkEnd w:id="19"/>
    </w:p>
    <w:p w14:paraId="4B99D7C2" w14:textId="77777777" w:rsidR="00CE73AE" w:rsidRDefault="00CE73AE" w:rsidP="00B82605">
      <w:pPr>
        <w:pStyle w:val="CGPC-elearning"/>
      </w:pPr>
      <w:r w:rsidRPr="00CD36D8">
        <w:t>Sous le régime de la séparation de biens, les rapports patrimoniaux des conjoints sont encadrés par un contrat de mariage. Chacun conserve la propriété exclusive des biens acquis avant et pendant le mariage. Par conséquent, le divorce des époux n’a aucune incidence sur la société. L’actionnaire unique conserve la propriété exclusive des titres qu’il détient.</w:t>
      </w:r>
    </w:p>
    <w:p w14:paraId="67F705BD" w14:textId="77777777" w:rsidR="007C5194" w:rsidRPr="00CD36D8" w:rsidRDefault="007C5194" w:rsidP="00B82605">
      <w:pPr>
        <w:pStyle w:val="CGPC-elearning"/>
      </w:pPr>
    </w:p>
    <w:p w14:paraId="0AA422D1" w14:textId="77777777" w:rsidR="00CE73AE" w:rsidRDefault="00CE73AE" w:rsidP="001E7313">
      <w:pPr>
        <w:pStyle w:val="Titre4"/>
      </w:pPr>
      <w:bookmarkStart w:id="20" w:name="_Toc186713579"/>
      <w:r>
        <w:t>Sous le régime de la participation aux acquêts</w:t>
      </w:r>
      <w:bookmarkEnd w:id="20"/>
    </w:p>
    <w:p w14:paraId="55D868C4" w14:textId="77777777" w:rsidR="00CE73AE" w:rsidRDefault="00CE73AE" w:rsidP="00B82605">
      <w:pPr>
        <w:pStyle w:val="CGPC-elearning"/>
      </w:pPr>
      <w:r>
        <w:t>Ce régime matrimonial se situe à mi-chemin entre les deux précédents. Il y a séparation de biens pendant le mariage et partage de l’enrichissement du couple lors de sa rupture. En cas de divorce, le notaire évaluera le patrimoine des époux, dont font partie les titres de société. Le conjoint le plus fortuné devra alors verser une créance de participation à l’autre partie.</w:t>
      </w:r>
    </w:p>
    <w:p w14:paraId="6A3813EC" w14:textId="77777777" w:rsidR="00CE73AE" w:rsidRDefault="00CE73AE" w:rsidP="00B82605">
      <w:pPr>
        <w:pStyle w:val="CGPC-elearning"/>
      </w:pPr>
      <w:r>
        <w:lastRenderedPageBreak/>
        <w:t>Il est possible d’exclure les sociétés du calcul de cette créance, à condition toutefois d’insérer une clause spécifique dans le contrat de mariage. Cette dernière, appelée « clause d’exclusion des biens professionnels », est quasiment de style dans les contrats de participation aux acquêts, mais elle a été fragilisée par la jurisprudence de la Cour de cassation, qui l’a qualifiée d’avantage matrimonial susceptible de révocation en cas de divorce.</w:t>
      </w:r>
    </w:p>
    <w:p w14:paraId="04613415" w14:textId="77777777" w:rsidR="007C5194" w:rsidRDefault="007C5194" w:rsidP="00B82605">
      <w:pPr>
        <w:pStyle w:val="CGPC-elearning"/>
      </w:pPr>
    </w:p>
    <w:p w14:paraId="2017B9F6" w14:textId="77777777" w:rsidR="00CE73AE" w:rsidRDefault="00CE73AE" w:rsidP="001E7313">
      <w:pPr>
        <w:pStyle w:val="Titre4"/>
      </w:pPr>
      <w:bookmarkStart w:id="21" w:name="_Toc186713580"/>
      <w:r>
        <w:t>Sous le régime de la communauté universelle</w:t>
      </w:r>
      <w:bookmarkEnd w:id="21"/>
    </w:p>
    <w:p w14:paraId="4945CBE9" w14:textId="77777777" w:rsidR="00CE73AE" w:rsidRDefault="00CE73AE" w:rsidP="00B82605">
      <w:pPr>
        <w:pStyle w:val="CGPC-elearning"/>
      </w:pPr>
      <w:r>
        <w:t>Sous ce régime, les patrimoines propres et communs des époux sont confondus, de sorte que tous leurs biens, y compris les titres de société, sont en communauté. Les règles applicables au régime légal sont transposables : les titres, ou leur valeur, seront partagés en cas de dissolution de la communauté, et le conjoint de l’époux associé pourra invoquer les dispositions de l’article 1832-2 du Code civil.</w:t>
      </w:r>
    </w:p>
    <w:p w14:paraId="15AC96AB" w14:textId="77777777" w:rsidR="007C5194" w:rsidRDefault="007C5194" w:rsidP="00B82605">
      <w:pPr>
        <w:pStyle w:val="CGPC-elearning"/>
      </w:pPr>
    </w:p>
    <w:p w14:paraId="191CDC9D" w14:textId="77777777" w:rsidR="007C5194" w:rsidRDefault="007C5194" w:rsidP="00B82605">
      <w:pPr>
        <w:pStyle w:val="CGPC-elearning"/>
      </w:pPr>
    </w:p>
    <w:p w14:paraId="0348393F" w14:textId="77777777" w:rsidR="00CE73AE" w:rsidRDefault="00CE73AE" w:rsidP="00B82605">
      <w:pPr>
        <w:pStyle w:val="Titre3"/>
      </w:pPr>
      <w:bookmarkStart w:id="22" w:name="_Toc186713581"/>
      <w:r>
        <w:t>Changement de régime matrimonial et évitement de l’apurement du passif par le conjoint : une procédure risquée</w:t>
      </w:r>
      <w:bookmarkEnd w:id="22"/>
    </w:p>
    <w:p w14:paraId="04C8E0EF" w14:textId="77777777" w:rsidR="00CD36D8" w:rsidRPr="00CD36D8" w:rsidRDefault="00CD36D8" w:rsidP="00CD36D8">
      <w:pPr>
        <w:rPr>
          <w:lang w:eastAsia="fr-FR"/>
        </w:rPr>
      </w:pPr>
    </w:p>
    <w:p w14:paraId="2969E966" w14:textId="56F42886" w:rsidR="00CE73AE" w:rsidRDefault="00CE73AE" w:rsidP="00B82605">
      <w:pPr>
        <w:pStyle w:val="CGPC-elearning"/>
      </w:pPr>
      <w:r>
        <w:t>Tout acte (changement de régime matrimonial, donation…) ayant été accompli pour soustraire certains biens (propres ou communs) aux poursuites des créanciers du chef d’entreprise dans le cadre d’une procédure collective peut être annulé par le tribunal en charge de cette procédure, à la demande des mandataires de justice.</w:t>
      </w:r>
    </w:p>
    <w:p w14:paraId="5F2BBDD8" w14:textId="77777777" w:rsidR="00CE73AE" w:rsidRDefault="00CE73AE" w:rsidP="00B82605">
      <w:pPr>
        <w:pStyle w:val="CGPC-elearning"/>
      </w:pPr>
      <w:r>
        <w:t>La conclusion d’un tel acte doit donc être évitée dès lors que la cessation de paiement est caractérisée ou pendant la période suspecte. Elle expose son auteur à des dommages-intérêts voire à des sanctions pénales, notamment lorsque sont en cause des dettes fiscales (peines de prison).</w:t>
      </w:r>
    </w:p>
    <w:sectPr w:rsidR="00CE73AE" w:rsidSect="001E7313">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79C1BA" w14:textId="77777777" w:rsidR="00CD783D" w:rsidRDefault="00CD783D" w:rsidP="002020F9">
      <w:pPr>
        <w:spacing w:after="0" w:line="240" w:lineRule="auto"/>
      </w:pPr>
      <w:r>
        <w:separator/>
      </w:r>
    </w:p>
  </w:endnote>
  <w:endnote w:type="continuationSeparator" w:id="0">
    <w:p w14:paraId="5EBDB16F" w14:textId="77777777" w:rsidR="00CD783D" w:rsidRDefault="00CD783D"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E911AF60-1D5A-4244-936A-75737D576ED1}"/>
    <w:embedBold r:id="rId2" w:fontKey="{77657A72-1F4E-4348-B15B-E1F9E53004AA}"/>
    <w:embedItalic r:id="rId3" w:fontKey="{14159B95-5FE5-4118-AD4B-C0C9D8E152F2}"/>
    <w:embedBoldItalic r:id="rId4" w:fontKey="{A2C5A398-F290-4840-BCCB-D9245561AAED}"/>
  </w:font>
  <w:font w:name="Calibri">
    <w:panose1 w:val="020F0502020204030204"/>
    <w:charset w:val="00"/>
    <w:family w:val="swiss"/>
    <w:pitch w:val="variable"/>
    <w:sig w:usb0="E4002EFF" w:usb1="C200247B" w:usb2="00000009" w:usb3="00000000" w:csb0="000001FF" w:csb1="00000000"/>
    <w:embedRegular r:id="rId5" w:fontKey="{A20AB132-B0C9-4181-A8DC-C3FDA33694A3}"/>
    <w:embedBold r:id="rId6" w:fontKey="{AB26CD05-AE1D-4CBB-B1CC-A66B806DFB29}"/>
    <w:embedItalic r:id="rId7" w:fontKey="{71731201-6389-402B-A7CE-60EEC98481C7}"/>
    <w:embedBoldItalic r:id="rId8" w:fontKey="{02993070-E992-493D-BE5F-8A8D4463B8EC}"/>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5DACB965-A6D0-497E-ACD1-95726A02209C}"/>
    <w:embedBold r:id="rId10" w:fontKey="{4ADEBF18-A3AF-499A-AB90-CE715A66E487}"/>
  </w:font>
  <w:font w:name="Tahoma">
    <w:panose1 w:val="020B0604030504040204"/>
    <w:charset w:val="00"/>
    <w:family w:val="swiss"/>
    <w:pitch w:val="variable"/>
    <w:sig w:usb0="E1002EFF" w:usb1="C000605B" w:usb2="00000029" w:usb3="00000000" w:csb0="000101FF" w:csb1="00000000"/>
    <w:embedRegular r:id="rId11" w:fontKey="{75696142-B1D6-45EC-827F-40275FEE18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2679983"/>
      <w:docPartObj>
        <w:docPartGallery w:val="Page Numbers (Bottom of Page)"/>
        <w:docPartUnique/>
      </w:docPartObj>
    </w:sdtPr>
    <w:sdtContent>
      <w:p w14:paraId="0B28E9CD" w14:textId="36FD8612" w:rsidR="001E7313" w:rsidRDefault="001E7313">
        <w:pPr>
          <w:pStyle w:val="Pieddepage"/>
        </w:pPr>
        <w:r>
          <w:fldChar w:fldCharType="begin"/>
        </w:r>
        <w:r>
          <w:instrText>PAGE   \* MERGEFORMAT</w:instrText>
        </w:r>
        <w:r>
          <w:fldChar w:fldCharType="separate"/>
        </w:r>
        <w:r>
          <w:t>2</w:t>
        </w:r>
        <w:r>
          <w:fldChar w:fldCharType="end"/>
        </w:r>
        <w:r>
          <w:t xml:space="preserve"> </w:t>
        </w:r>
        <w:r w:rsidRPr="001E7313">
          <w:t>Copyright© CGPC®</w:t>
        </w:r>
      </w:p>
    </w:sdtContent>
  </w:sdt>
  <w:p w14:paraId="5210CCD8" w14:textId="77777777" w:rsidR="007C5194" w:rsidRDefault="007C519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7B9DFC" w14:textId="77777777" w:rsidR="00CD783D" w:rsidRDefault="00CD783D" w:rsidP="002020F9">
      <w:pPr>
        <w:spacing w:after="0" w:line="240" w:lineRule="auto"/>
      </w:pPr>
      <w:r>
        <w:separator/>
      </w:r>
    </w:p>
  </w:footnote>
  <w:footnote w:type="continuationSeparator" w:id="0">
    <w:p w14:paraId="7700D573" w14:textId="77777777" w:rsidR="00CD783D" w:rsidRDefault="00CD783D"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B465F" w14:textId="197FB0B6" w:rsidR="001E7313" w:rsidRDefault="001E7313">
    <w:pPr>
      <w:pStyle w:val="En-tte"/>
    </w:pPr>
    <w:r>
      <w:rPr>
        <w:noProof/>
      </w:rPr>
      <mc:AlternateContent>
        <mc:Choice Requires="wps">
          <w:drawing>
            <wp:anchor distT="0" distB="0" distL="118745" distR="118745" simplePos="0" relativeHeight="251658240" behindDoc="1" locked="0" layoutInCell="1" allowOverlap="0" wp14:anchorId="52AAEF83" wp14:editId="02B353AE">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32AF4F7" w14:textId="71B9DCCD" w:rsidR="001E7313" w:rsidRDefault="001E7313">
                              <w:pPr>
                                <w:pStyle w:val="En-tte"/>
                                <w:jc w:val="center"/>
                                <w:rPr>
                                  <w:caps/>
                                  <w:color w:val="FFFFFF" w:themeColor="background1"/>
                                </w:rPr>
                              </w:pPr>
                              <w:r>
                                <w:rPr>
                                  <w:caps/>
                                  <w:color w:val="FFFFFF" w:themeColor="background1"/>
                                </w:rPr>
                                <w:t>Chapitre 3 : Responsabilités et protection d’un chef d’entreprise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2AAEF83" id="Rectangle 200" o:spid="_x0000_s1026" style="position:absolute;left:0;text-align:left;margin-left:0;margin-top:0;width:468.5pt;height:21.3pt;z-index:-25165824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32AF4F7" w14:textId="71B9DCCD" w:rsidR="001E7313" w:rsidRDefault="001E7313">
                        <w:pPr>
                          <w:pStyle w:val="En-tte"/>
                          <w:jc w:val="center"/>
                          <w:rPr>
                            <w:caps/>
                            <w:color w:val="FFFFFF" w:themeColor="background1"/>
                          </w:rPr>
                        </w:pPr>
                        <w:r>
                          <w:rPr>
                            <w:caps/>
                            <w:color w:val="FFFFFF" w:themeColor="background1"/>
                          </w:rPr>
                          <w:t>Chapitre 3 : Responsabilités et protection d’un chef d’entreprise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85" type="#_x0000_t75" alt="Une image contenant jaune, ligne, Graphique, conception&#10;&#10;Description générée automatiquement" style="width:409.9pt;height:409.9pt;visibility:visible;mso-wrap-style:square" o:bullet="t">
        <v:imagedata r:id="rId1" o:title="Une image contenant jaune, ligne, Graphique, conception&#10;&#10;Description générée automatiquement"/>
      </v:shape>
    </w:pict>
  </w:numPicBullet>
  <w:numPicBullet w:numPicBulletId="1">
    <w:pict>
      <v:shape id="_x0000_i1486" type="#_x0000_t75" alt="Une image contenant capture d’écran, dessin humoristique&#10;&#10;Description générée automatiquement" style="width:491.5pt;height:491.5pt;visibility:visible;mso-wrap-style:square" o:bullet="t">
        <v:imagedata r:id="rId2" o:title="Une image contenant capture d’écran, dessin humoristique&#10;&#10;Description générée automatiquement"/>
      </v:shape>
    </w:pict>
  </w:numPicBullet>
  <w:abstractNum w:abstractNumId="0" w15:restartNumberingAfterBreak="0">
    <w:nsid w:val="002A7978"/>
    <w:multiLevelType w:val="hybridMultilevel"/>
    <w:tmpl w:val="73E2017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66E6700"/>
    <w:multiLevelType w:val="hybridMultilevel"/>
    <w:tmpl w:val="5BD2E84A"/>
    <w:lvl w:ilvl="0" w:tplc="FBE63B34">
      <w:start w:val="1"/>
      <w:numFmt w:val="bullet"/>
      <w:lvlText w:val=""/>
      <w:lvlPicBulletId w:val="0"/>
      <w:lvlJc w:val="left"/>
      <w:pPr>
        <w:tabs>
          <w:tab w:val="num" w:pos="720"/>
        </w:tabs>
        <w:ind w:left="720" w:hanging="360"/>
      </w:pPr>
      <w:rPr>
        <w:rFonts w:ascii="Symbol" w:hAnsi="Symbol" w:hint="default"/>
      </w:rPr>
    </w:lvl>
    <w:lvl w:ilvl="1" w:tplc="9282FBDE" w:tentative="1">
      <w:start w:val="1"/>
      <w:numFmt w:val="bullet"/>
      <w:lvlText w:val=""/>
      <w:lvlJc w:val="left"/>
      <w:pPr>
        <w:tabs>
          <w:tab w:val="num" w:pos="1440"/>
        </w:tabs>
        <w:ind w:left="1440" w:hanging="360"/>
      </w:pPr>
      <w:rPr>
        <w:rFonts w:ascii="Symbol" w:hAnsi="Symbol" w:hint="default"/>
      </w:rPr>
    </w:lvl>
    <w:lvl w:ilvl="2" w:tplc="06DC6B0E" w:tentative="1">
      <w:start w:val="1"/>
      <w:numFmt w:val="bullet"/>
      <w:lvlText w:val=""/>
      <w:lvlJc w:val="left"/>
      <w:pPr>
        <w:tabs>
          <w:tab w:val="num" w:pos="2160"/>
        </w:tabs>
        <w:ind w:left="2160" w:hanging="360"/>
      </w:pPr>
      <w:rPr>
        <w:rFonts w:ascii="Symbol" w:hAnsi="Symbol" w:hint="default"/>
      </w:rPr>
    </w:lvl>
    <w:lvl w:ilvl="3" w:tplc="838E44D2" w:tentative="1">
      <w:start w:val="1"/>
      <w:numFmt w:val="bullet"/>
      <w:lvlText w:val=""/>
      <w:lvlJc w:val="left"/>
      <w:pPr>
        <w:tabs>
          <w:tab w:val="num" w:pos="2880"/>
        </w:tabs>
        <w:ind w:left="2880" w:hanging="360"/>
      </w:pPr>
      <w:rPr>
        <w:rFonts w:ascii="Symbol" w:hAnsi="Symbol" w:hint="default"/>
      </w:rPr>
    </w:lvl>
    <w:lvl w:ilvl="4" w:tplc="AB964B08" w:tentative="1">
      <w:start w:val="1"/>
      <w:numFmt w:val="bullet"/>
      <w:lvlText w:val=""/>
      <w:lvlJc w:val="left"/>
      <w:pPr>
        <w:tabs>
          <w:tab w:val="num" w:pos="3600"/>
        </w:tabs>
        <w:ind w:left="3600" w:hanging="360"/>
      </w:pPr>
      <w:rPr>
        <w:rFonts w:ascii="Symbol" w:hAnsi="Symbol" w:hint="default"/>
      </w:rPr>
    </w:lvl>
    <w:lvl w:ilvl="5" w:tplc="FD3A2DC0" w:tentative="1">
      <w:start w:val="1"/>
      <w:numFmt w:val="bullet"/>
      <w:lvlText w:val=""/>
      <w:lvlJc w:val="left"/>
      <w:pPr>
        <w:tabs>
          <w:tab w:val="num" w:pos="4320"/>
        </w:tabs>
        <w:ind w:left="4320" w:hanging="360"/>
      </w:pPr>
      <w:rPr>
        <w:rFonts w:ascii="Symbol" w:hAnsi="Symbol" w:hint="default"/>
      </w:rPr>
    </w:lvl>
    <w:lvl w:ilvl="6" w:tplc="662C3C1A" w:tentative="1">
      <w:start w:val="1"/>
      <w:numFmt w:val="bullet"/>
      <w:lvlText w:val=""/>
      <w:lvlJc w:val="left"/>
      <w:pPr>
        <w:tabs>
          <w:tab w:val="num" w:pos="5040"/>
        </w:tabs>
        <w:ind w:left="5040" w:hanging="360"/>
      </w:pPr>
      <w:rPr>
        <w:rFonts w:ascii="Symbol" w:hAnsi="Symbol" w:hint="default"/>
      </w:rPr>
    </w:lvl>
    <w:lvl w:ilvl="7" w:tplc="07DE2E48" w:tentative="1">
      <w:start w:val="1"/>
      <w:numFmt w:val="bullet"/>
      <w:lvlText w:val=""/>
      <w:lvlJc w:val="left"/>
      <w:pPr>
        <w:tabs>
          <w:tab w:val="num" w:pos="5760"/>
        </w:tabs>
        <w:ind w:left="5760" w:hanging="360"/>
      </w:pPr>
      <w:rPr>
        <w:rFonts w:ascii="Symbol" w:hAnsi="Symbol" w:hint="default"/>
      </w:rPr>
    </w:lvl>
    <w:lvl w:ilvl="8" w:tplc="DD42BB0C"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D61809"/>
    <w:multiLevelType w:val="multilevel"/>
    <w:tmpl w:val="9C422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A24D77"/>
    <w:multiLevelType w:val="multilevel"/>
    <w:tmpl w:val="1FC64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B955B1"/>
    <w:multiLevelType w:val="hybridMultilevel"/>
    <w:tmpl w:val="DA849628"/>
    <w:lvl w:ilvl="0" w:tplc="2342E67E">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5" w15:restartNumberingAfterBreak="0">
    <w:nsid w:val="21A90A14"/>
    <w:multiLevelType w:val="multilevel"/>
    <w:tmpl w:val="84BA3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3D01655"/>
    <w:multiLevelType w:val="hybridMultilevel"/>
    <w:tmpl w:val="A3F8C8E8"/>
    <w:lvl w:ilvl="0" w:tplc="77C669BA">
      <w:start w:val="4"/>
      <w:numFmt w:val="bullet"/>
      <w:lvlText w:val="-"/>
      <w:lvlJc w:val="left"/>
      <w:pPr>
        <w:ind w:left="720" w:hanging="360"/>
      </w:pPr>
      <w:rPr>
        <w:rFonts w:ascii="Open Sans" w:eastAsiaTheme="minorHAnsi"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AC4093"/>
    <w:multiLevelType w:val="multilevel"/>
    <w:tmpl w:val="193E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5EE312C"/>
    <w:multiLevelType w:val="multilevel"/>
    <w:tmpl w:val="1E865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3844BE"/>
    <w:multiLevelType w:val="hybridMultilevel"/>
    <w:tmpl w:val="E6944EB2"/>
    <w:lvl w:ilvl="0" w:tplc="FAAAE040">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3A6B60EC"/>
    <w:multiLevelType w:val="multilevel"/>
    <w:tmpl w:val="29445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E126D1E"/>
    <w:multiLevelType w:val="hybridMultilevel"/>
    <w:tmpl w:val="1F76751E"/>
    <w:lvl w:ilvl="0" w:tplc="5E5452A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314407"/>
    <w:multiLevelType w:val="multilevel"/>
    <w:tmpl w:val="B08C5B64"/>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4" w15:restartNumberingAfterBreak="0">
    <w:nsid w:val="44E015C3"/>
    <w:multiLevelType w:val="hybridMultilevel"/>
    <w:tmpl w:val="25801164"/>
    <w:lvl w:ilvl="0" w:tplc="901C2978">
      <w:start w:val="1"/>
      <w:numFmt w:val="bullet"/>
      <w:lvlText w:val=""/>
      <w:lvlPicBulletId w:val="1"/>
      <w:lvlJc w:val="left"/>
      <w:pPr>
        <w:tabs>
          <w:tab w:val="num" w:pos="720"/>
        </w:tabs>
        <w:ind w:left="720" w:hanging="360"/>
      </w:pPr>
      <w:rPr>
        <w:rFonts w:ascii="Symbol" w:hAnsi="Symbol" w:hint="default"/>
      </w:rPr>
    </w:lvl>
    <w:lvl w:ilvl="1" w:tplc="64881E94" w:tentative="1">
      <w:start w:val="1"/>
      <w:numFmt w:val="bullet"/>
      <w:lvlText w:val=""/>
      <w:lvlJc w:val="left"/>
      <w:pPr>
        <w:tabs>
          <w:tab w:val="num" w:pos="1440"/>
        </w:tabs>
        <w:ind w:left="1440" w:hanging="360"/>
      </w:pPr>
      <w:rPr>
        <w:rFonts w:ascii="Symbol" w:hAnsi="Symbol" w:hint="default"/>
      </w:rPr>
    </w:lvl>
    <w:lvl w:ilvl="2" w:tplc="83387D7E" w:tentative="1">
      <w:start w:val="1"/>
      <w:numFmt w:val="bullet"/>
      <w:lvlText w:val=""/>
      <w:lvlJc w:val="left"/>
      <w:pPr>
        <w:tabs>
          <w:tab w:val="num" w:pos="2160"/>
        </w:tabs>
        <w:ind w:left="2160" w:hanging="360"/>
      </w:pPr>
      <w:rPr>
        <w:rFonts w:ascii="Symbol" w:hAnsi="Symbol" w:hint="default"/>
      </w:rPr>
    </w:lvl>
    <w:lvl w:ilvl="3" w:tplc="A6E2BBE8" w:tentative="1">
      <w:start w:val="1"/>
      <w:numFmt w:val="bullet"/>
      <w:lvlText w:val=""/>
      <w:lvlJc w:val="left"/>
      <w:pPr>
        <w:tabs>
          <w:tab w:val="num" w:pos="2880"/>
        </w:tabs>
        <w:ind w:left="2880" w:hanging="360"/>
      </w:pPr>
      <w:rPr>
        <w:rFonts w:ascii="Symbol" w:hAnsi="Symbol" w:hint="default"/>
      </w:rPr>
    </w:lvl>
    <w:lvl w:ilvl="4" w:tplc="5CA826B4" w:tentative="1">
      <w:start w:val="1"/>
      <w:numFmt w:val="bullet"/>
      <w:lvlText w:val=""/>
      <w:lvlJc w:val="left"/>
      <w:pPr>
        <w:tabs>
          <w:tab w:val="num" w:pos="3600"/>
        </w:tabs>
        <w:ind w:left="3600" w:hanging="360"/>
      </w:pPr>
      <w:rPr>
        <w:rFonts w:ascii="Symbol" w:hAnsi="Symbol" w:hint="default"/>
      </w:rPr>
    </w:lvl>
    <w:lvl w:ilvl="5" w:tplc="0D606AD6" w:tentative="1">
      <w:start w:val="1"/>
      <w:numFmt w:val="bullet"/>
      <w:lvlText w:val=""/>
      <w:lvlJc w:val="left"/>
      <w:pPr>
        <w:tabs>
          <w:tab w:val="num" w:pos="4320"/>
        </w:tabs>
        <w:ind w:left="4320" w:hanging="360"/>
      </w:pPr>
      <w:rPr>
        <w:rFonts w:ascii="Symbol" w:hAnsi="Symbol" w:hint="default"/>
      </w:rPr>
    </w:lvl>
    <w:lvl w:ilvl="6" w:tplc="EEACCC20" w:tentative="1">
      <w:start w:val="1"/>
      <w:numFmt w:val="bullet"/>
      <w:lvlText w:val=""/>
      <w:lvlJc w:val="left"/>
      <w:pPr>
        <w:tabs>
          <w:tab w:val="num" w:pos="5040"/>
        </w:tabs>
        <w:ind w:left="5040" w:hanging="360"/>
      </w:pPr>
      <w:rPr>
        <w:rFonts w:ascii="Symbol" w:hAnsi="Symbol" w:hint="default"/>
      </w:rPr>
    </w:lvl>
    <w:lvl w:ilvl="7" w:tplc="87B814E2" w:tentative="1">
      <w:start w:val="1"/>
      <w:numFmt w:val="bullet"/>
      <w:lvlText w:val=""/>
      <w:lvlJc w:val="left"/>
      <w:pPr>
        <w:tabs>
          <w:tab w:val="num" w:pos="5760"/>
        </w:tabs>
        <w:ind w:left="5760" w:hanging="360"/>
      </w:pPr>
      <w:rPr>
        <w:rFonts w:ascii="Symbol" w:hAnsi="Symbol" w:hint="default"/>
      </w:rPr>
    </w:lvl>
    <w:lvl w:ilvl="8" w:tplc="710672A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49D5312A"/>
    <w:multiLevelType w:val="hybridMultilevel"/>
    <w:tmpl w:val="C7FE0234"/>
    <w:lvl w:ilvl="0" w:tplc="FF3C66FE">
      <w:start w:val="1"/>
      <w:numFmt w:val="lowerLetter"/>
      <w:pStyle w:val="Titre5"/>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15:restartNumberingAfterBreak="0">
    <w:nsid w:val="4E375874"/>
    <w:multiLevelType w:val="multilevel"/>
    <w:tmpl w:val="27181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690217D"/>
    <w:multiLevelType w:val="multilevel"/>
    <w:tmpl w:val="C436D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B952D76"/>
    <w:multiLevelType w:val="hybridMultilevel"/>
    <w:tmpl w:val="E8AC9754"/>
    <w:lvl w:ilvl="0" w:tplc="CBDC707E">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9" w15:restartNumberingAfterBreak="0">
    <w:nsid w:val="60376F66"/>
    <w:multiLevelType w:val="hybridMultilevel"/>
    <w:tmpl w:val="FBE08AF4"/>
    <w:lvl w:ilvl="0" w:tplc="132494DE">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67920D5F"/>
    <w:multiLevelType w:val="hybridMultilevel"/>
    <w:tmpl w:val="C4CA0410"/>
    <w:lvl w:ilvl="0" w:tplc="584CAD44">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B0E4CB6"/>
    <w:multiLevelType w:val="multilevel"/>
    <w:tmpl w:val="7400C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2556569"/>
    <w:multiLevelType w:val="hybridMultilevel"/>
    <w:tmpl w:val="49FA6286"/>
    <w:lvl w:ilvl="0" w:tplc="0E52BD20">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12989691">
    <w:abstractNumId w:val="13"/>
  </w:num>
  <w:num w:numId="2" w16cid:durableId="1664164551">
    <w:abstractNumId w:val="7"/>
  </w:num>
  <w:num w:numId="3" w16cid:durableId="809514109">
    <w:abstractNumId w:val="22"/>
  </w:num>
  <w:num w:numId="4" w16cid:durableId="838664331">
    <w:abstractNumId w:val="19"/>
  </w:num>
  <w:num w:numId="5" w16cid:durableId="1724792814">
    <w:abstractNumId w:val="4"/>
  </w:num>
  <w:num w:numId="6" w16cid:durableId="1465733187">
    <w:abstractNumId w:val="21"/>
  </w:num>
  <w:num w:numId="7" w16cid:durableId="931282626">
    <w:abstractNumId w:val="16"/>
  </w:num>
  <w:num w:numId="8" w16cid:durableId="868105801">
    <w:abstractNumId w:val="3"/>
  </w:num>
  <w:num w:numId="9" w16cid:durableId="1945920891">
    <w:abstractNumId w:val="8"/>
  </w:num>
  <w:num w:numId="10" w16cid:durableId="1683972513">
    <w:abstractNumId w:val="2"/>
  </w:num>
  <w:num w:numId="11" w16cid:durableId="343170988">
    <w:abstractNumId w:val="17"/>
  </w:num>
  <w:num w:numId="12" w16cid:durableId="209733520">
    <w:abstractNumId w:val="11"/>
  </w:num>
  <w:num w:numId="13" w16cid:durableId="910891810">
    <w:abstractNumId w:val="9"/>
  </w:num>
  <w:num w:numId="14" w16cid:durableId="2030907335">
    <w:abstractNumId w:val="5"/>
  </w:num>
  <w:num w:numId="15" w16cid:durableId="1085225679">
    <w:abstractNumId w:val="19"/>
    <w:lvlOverride w:ilvl="0">
      <w:startOverride w:val="1"/>
    </w:lvlOverride>
  </w:num>
  <w:num w:numId="16" w16cid:durableId="486089482">
    <w:abstractNumId w:val="19"/>
    <w:lvlOverride w:ilvl="0">
      <w:startOverride w:val="1"/>
    </w:lvlOverride>
  </w:num>
  <w:num w:numId="17" w16cid:durableId="1961496700">
    <w:abstractNumId w:val="22"/>
    <w:lvlOverride w:ilvl="0">
      <w:startOverride w:val="1"/>
    </w:lvlOverride>
  </w:num>
  <w:num w:numId="18" w16cid:durableId="579826257">
    <w:abstractNumId w:val="12"/>
  </w:num>
  <w:num w:numId="19" w16cid:durableId="913516461">
    <w:abstractNumId w:val="12"/>
    <w:lvlOverride w:ilvl="0">
      <w:startOverride w:val="1"/>
    </w:lvlOverride>
  </w:num>
  <w:num w:numId="20" w16cid:durableId="643511872">
    <w:abstractNumId w:val="22"/>
    <w:lvlOverride w:ilvl="0">
      <w:startOverride w:val="1"/>
    </w:lvlOverride>
  </w:num>
  <w:num w:numId="21" w16cid:durableId="1814449500">
    <w:abstractNumId w:val="4"/>
    <w:lvlOverride w:ilvl="0">
      <w:startOverride w:val="1"/>
    </w:lvlOverride>
  </w:num>
  <w:num w:numId="22" w16cid:durableId="383331872">
    <w:abstractNumId w:val="19"/>
    <w:lvlOverride w:ilvl="0">
      <w:startOverride w:val="1"/>
    </w:lvlOverride>
  </w:num>
  <w:num w:numId="23" w16cid:durableId="1514104591">
    <w:abstractNumId w:val="22"/>
    <w:lvlOverride w:ilvl="0">
      <w:startOverride w:val="1"/>
    </w:lvlOverride>
  </w:num>
  <w:num w:numId="24" w16cid:durableId="1710955352">
    <w:abstractNumId w:val="19"/>
    <w:lvlOverride w:ilvl="0">
      <w:startOverride w:val="1"/>
    </w:lvlOverride>
  </w:num>
  <w:num w:numId="25" w16cid:durableId="647708466">
    <w:abstractNumId w:val="1"/>
  </w:num>
  <w:num w:numId="26" w16cid:durableId="1866477831">
    <w:abstractNumId w:val="14"/>
  </w:num>
  <w:num w:numId="27" w16cid:durableId="1541892031">
    <w:abstractNumId w:val="6"/>
  </w:num>
  <w:num w:numId="28" w16cid:durableId="1786926748">
    <w:abstractNumId w:val="0"/>
  </w:num>
  <w:num w:numId="29" w16cid:durableId="2046365913">
    <w:abstractNumId w:val="20"/>
  </w:num>
  <w:num w:numId="30" w16cid:durableId="62874858">
    <w:abstractNumId w:val="15"/>
  </w:num>
  <w:num w:numId="31" w16cid:durableId="1251813680">
    <w:abstractNumId w:val="18"/>
  </w:num>
  <w:num w:numId="32" w16cid:durableId="1000809191">
    <w:abstractNumId w:val="10"/>
  </w:num>
  <w:num w:numId="33" w16cid:durableId="1289582649">
    <w:abstractNumId w:val="15"/>
    <w:lvlOverride w:ilvl="0">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1567E"/>
    <w:rsid w:val="00026686"/>
    <w:rsid w:val="00074CCE"/>
    <w:rsid w:val="00075E24"/>
    <w:rsid w:val="000A60F2"/>
    <w:rsid w:val="000C2B3F"/>
    <w:rsid w:val="000C5F54"/>
    <w:rsid w:val="001238EF"/>
    <w:rsid w:val="001525E5"/>
    <w:rsid w:val="001628E5"/>
    <w:rsid w:val="001915DB"/>
    <w:rsid w:val="00197C2B"/>
    <w:rsid w:val="001E58CB"/>
    <w:rsid w:val="001E7313"/>
    <w:rsid w:val="00200B59"/>
    <w:rsid w:val="002020F9"/>
    <w:rsid w:val="00224F0D"/>
    <w:rsid w:val="00233D58"/>
    <w:rsid w:val="002352E6"/>
    <w:rsid w:val="002863E1"/>
    <w:rsid w:val="002E04A2"/>
    <w:rsid w:val="002E7C98"/>
    <w:rsid w:val="0030508E"/>
    <w:rsid w:val="003219C6"/>
    <w:rsid w:val="00326184"/>
    <w:rsid w:val="0036727B"/>
    <w:rsid w:val="00387DA8"/>
    <w:rsid w:val="00395D9F"/>
    <w:rsid w:val="003D2EB1"/>
    <w:rsid w:val="003D57D5"/>
    <w:rsid w:val="00415D2C"/>
    <w:rsid w:val="004C5E68"/>
    <w:rsid w:val="004F7075"/>
    <w:rsid w:val="00552D7D"/>
    <w:rsid w:val="0056165E"/>
    <w:rsid w:val="00563C2E"/>
    <w:rsid w:val="00566450"/>
    <w:rsid w:val="00566BDA"/>
    <w:rsid w:val="0058472E"/>
    <w:rsid w:val="00593DBA"/>
    <w:rsid w:val="005941FD"/>
    <w:rsid w:val="005E41CC"/>
    <w:rsid w:val="005F0983"/>
    <w:rsid w:val="005F0B22"/>
    <w:rsid w:val="00605F62"/>
    <w:rsid w:val="00624CAE"/>
    <w:rsid w:val="0062660C"/>
    <w:rsid w:val="0062781F"/>
    <w:rsid w:val="006325C6"/>
    <w:rsid w:val="00645749"/>
    <w:rsid w:val="00677448"/>
    <w:rsid w:val="00685544"/>
    <w:rsid w:val="006C2651"/>
    <w:rsid w:val="006E2203"/>
    <w:rsid w:val="00747929"/>
    <w:rsid w:val="00780465"/>
    <w:rsid w:val="0078156D"/>
    <w:rsid w:val="007A379E"/>
    <w:rsid w:val="007C4B23"/>
    <w:rsid w:val="007C5194"/>
    <w:rsid w:val="007F2091"/>
    <w:rsid w:val="00826CAE"/>
    <w:rsid w:val="00834AAF"/>
    <w:rsid w:val="0088467E"/>
    <w:rsid w:val="008A52B4"/>
    <w:rsid w:val="008D272E"/>
    <w:rsid w:val="008E6990"/>
    <w:rsid w:val="00910D5B"/>
    <w:rsid w:val="00913774"/>
    <w:rsid w:val="00914804"/>
    <w:rsid w:val="00937625"/>
    <w:rsid w:val="00951CFF"/>
    <w:rsid w:val="00984F19"/>
    <w:rsid w:val="009A61A2"/>
    <w:rsid w:val="009F5FD7"/>
    <w:rsid w:val="00A13493"/>
    <w:rsid w:val="00A24546"/>
    <w:rsid w:val="00A7577F"/>
    <w:rsid w:val="00A87FD6"/>
    <w:rsid w:val="00AA6E58"/>
    <w:rsid w:val="00AB5284"/>
    <w:rsid w:val="00AC1140"/>
    <w:rsid w:val="00AC3233"/>
    <w:rsid w:val="00AC4FFD"/>
    <w:rsid w:val="00AE3DF2"/>
    <w:rsid w:val="00B0501B"/>
    <w:rsid w:val="00B10DE0"/>
    <w:rsid w:val="00B13B22"/>
    <w:rsid w:val="00B25AB9"/>
    <w:rsid w:val="00B34910"/>
    <w:rsid w:val="00B42117"/>
    <w:rsid w:val="00B5286C"/>
    <w:rsid w:val="00B52C2E"/>
    <w:rsid w:val="00B630C8"/>
    <w:rsid w:val="00B75B22"/>
    <w:rsid w:val="00B8067C"/>
    <w:rsid w:val="00B81391"/>
    <w:rsid w:val="00B82605"/>
    <w:rsid w:val="00BA1531"/>
    <w:rsid w:val="00BA4A7A"/>
    <w:rsid w:val="00BC0441"/>
    <w:rsid w:val="00BF4DAF"/>
    <w:rsid w:val="00BF7C89"/>
    <w:rsid w:val="00C10135"/>
    <w:rsid w:val="00C12BC9"/>
    <w:rsid w:val="00C17D12"/>
    <w:rsid w:val="00C44C02"/>
    <w:rsid w:val="00C83889"/>
    <w:rsid w:val="00C86C18"/>
    <w:rsid w:val="00CB39A6"/>
    <w:rsid w:val="00CC5221"/>
    <w:rsid w:val="00CD36D8"/>
    <w:rsid w:val="00CD783D"/>
    <w:rsid w:val="00CE73AE"/>
    <w:rsid w:val="00D30A3F"/>
    <w:rsid w:val="00D40C02"/>
    <w:rsid w:val="00D5574B"/>
    <w:rsid w:val="00D7312E"/>
    <w:rsid w:val="00D812F3"/>
    <w:rsid w:val="00DE3098"/>
    <w:rsid w:val="00E23FCD"/>
    <w:rsid w:val="00E46BC1"/>
    <w:rsid w:val="00E539C0"/>
    <w:rsid w:val="00E57CBB"/>
    <w:rsid w:val="00E678EF"/>
    <w:rsid w:val="00E96BE2"/>
    <w:rsid w:val="00EB02FF"/>
    <w:rsid w:val="00EB0768"/>
    <w:rsid w:val="00EC652C"/>
    <w:rsid w:val="00ED4021"/>
    <w:rsid w:val="00F06218"/>
    <w:rsid w:val="00F22A0B"/>
    <w:rsid w:val="00F3387D"/>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42F47D"/>
  <w15:docId w15:val="{E5A20743-FF9D-4DBF-A2A1-35C0EDA30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1E7313"/>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2"/>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7C4B23"/>
    <w:pPr>
      <w:keepNext/>
      <w:keepLines/>
      <w:numPr>
        <w:numId w:val="1"/>
      </w:numPr>
      <w:spacing w:before="360" w:after="360" w:line="240" w:lineRule="auto"/>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1E7313"/>
    <w:pPr>
      <w:keepNext/>
      <w:keepLines/>
      <w:numPr>
        <w:numId w:val="5"/>
      </w:numPr>
      <w:shd w:val="clear" w:color="auto" w:fill="FFFFFF"/>
      <w:spacing w:before="240" w:after="240" w:line="240" w:lineRule="auto"/>
      <w:textAlignment w:val="baseline"/>
      <w:outlineLvl w:val="2"/>
    </w:pPr>
    <w:rPr>
      <w:rFonts w:eastAsia="Times New Roman"/>
      <w:b/>
      <w:color w:val="3A5D9C"/>
      <w:sz w:val="44"/>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1E7313"/>
    <w:pPr>
      <w:keepNext/>
      <w:keepLines/>
      <w:numPr>
        <w:numId w:val="4"/>
      </w:numPr>
      <w:spacing w:before="280" w:after="240"/>
      <w:outlineLvl w:val="3"/>
    </w:pPr>
    <w:rPr>
      <w:rFonts w:eastAsiaTheme="majorEastAsia" w:cstheme="majorBidi"/>
      <w:b/>
      <w:iCs/>
      <w:color w:val="2F5496" w:themeColor="accent1" w:themeShade="BF"/>
      <w:sz w:val="40"/>
      <w:u w:val="single"/>
      <w:bdr w:val="none" w:sz="0" w:space="0" w:color="auto" w:frame="1"/>
    </w:rPr>
  </w:style>
  <w:style w:type="paragraph" w:styleId="Titre5">
    <w:name w:val="heading 5"/>
    <w:aliases w:val="Titre 5 CGPC"/>
    <w:basedOn w:val="CGPC-elearning"/>
    <w:next w:val="Normal"/>
    <w:link w:val="Titre5Car"/>
    <w:autoRedefine/>
    <w:uiPriority w:val="9"/>
    <w:unhideWhenUsed/>
    <w:qFormat/>
    <w:rsid w:val="00CB39A6"/>
    <w:pPr>
      <w:keepNext/>
      <w:keepLines/>
      <w:numPr>
        <w:numId w:val="30"/>
      </w:numPr>
      <w:spacing w:before="400" w:after="360"/>
      <w:outlineLvl w:val="4"/>
    </w:pPr>
    <w:rPr>
      <w:rFonts w:eastAsia="Times New Roman" w:cstheme="majorBidi"/>
      <w:b/>
      <w:color w:val="2F5496" w:themeColor="accent1" w:themeShade="BF"/>
      <w:sz w:val="36"/>
      <w:szCs w:val="24"/>
      <w:bdr w:val="none" w:sz="0" w:space="0" w:color="auto" w:frame="1"/>
      <w:lang w:eastAsia="fr-FR"/>
    </w:rPr>
  </w:style>
  <w:style w:type="paragraph" w:styleId="Titre6">
    <w:name w:val="heading 6"/>
    <w:basedOn w:val="Normal"/>
    <w:next w:val="Normal"/>
    <w:link w:val="Titre6Car"/>
    <w:autoRedefine/>
    <w:uiPriority w:val="9"/>
    <w:unhideWhenUsed/>
    <w:qFormat/>
    <w:rsid w:val="00A24546"/>
    <w:pPr>
      <w:keepNext/>
      <w:keepLines/>
      <w:numPr>
        <w:numId w:val="18"/>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7C4B23"/>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B82605"/>
    <w:rPr>
      <w:rFonts w:cs="Open Sans"/>
      <w:bCs/>
      <w:kern w:val="2"/>
      <w:szCs w:val="36"/>
      <w14:ligatures w14:val="standardContextual"/>
    </w:rPr>
  </w:style>
  <w:style w:type="character" w:customStyle="1" w:styleId="CGPC-elearningCar">
    <w:name w:val="CGPC-elearning Car"/>
    <w:basedOn w:val="Policepardfaut"/>
    <w:link w:val="CGPC-elearning"/>
    <w:rsid w:val="00B82605"/>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1E7313"/>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1E7313"/>
    <w:rPr>
      <w:rFonts w:ascii="Open Sans" w:eastAsiaTheme="majorEastAsia" w:hAnsi="Open Sans" w:cstheme="majorBidi"/>
      <w:b/>
      <w:bCs/>
      <w:iCs/>
      <w:color w:val="2F5496" w:themeColor="accent1" w:themeShade="BF"/>
      <w:sz w:val="40"/>
      <w:szCs w:val="36"/>
      <w:u w:val="single"/>
      <w:bdr w:val="none" w:sz="0" w:space="0" w:color="auto" w:frame="1"/>
    </w:rPr>
  </w:style>
  <w:style w:type="character" w:customStyle="1" w:styleId="Titre5Car">
    <w:name w:val="Titre 5 Car"/>
    <w:aliases w:val="Titre 5 CGPC Car"/>
    <w:basedOn w:val="Policepardfaut"/>
    <w:link w:val="Titre5"/>
    <w:uiPriority w:val="9"/>
    <w:rsid w:val="00CB39A6"/>
    <w:rPr>
      <w:rFonts w:ascii="Open Sans" w:eastAsia="Times New Roman" w:hAnsi="Open Sans" w:cstheme="majorBidi"/>
      <w:b/>
      <w:bCs/>
      <w:color w:val="2F5496" w:themeColor="accent1" w:themeShade="BF"/>
      <w:sz w:val="36"/>
      <w:szCs w:val="24"/>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A24546"/>
    <w:rPr>
      <w:rFonts w:asciiTheme="majorHAnsi" w:eastAsiaTheme="majorEastAsia" w:hAnsiTheme="majorHAnsi" w:cstheme="majorBidi"/>
      <w:b/>
      <w:color w:val="1F3763" w:themeColor="accent1" w:themeShade="7F"/>
      <w:kern w:val="0"/>
      <w:sz w:val="28"/>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M4">
    <w:name w:val="toc 4"/>
    <w:basedOn w:val="Normal"/>
    <w:next w:val="Normal"/>
    <w:autoRedefine/>
    <w:uiPriority w:val="39"/>
    <w:unhideWhenUsed/>
    <w:rsid w:val="00A24546"/>
    <w:pPr>
      <w:spacing w:after="100"/>
      <w:ind w:left="720"/>
    </w:pPr>
  </w:style>
  <w:style w:type="paragraph" w:styleId="Textedebulles">
    <w:name w:val="Balloon Text"/>
    <w:basedOn w:val="Normal"/>
    <w:link w:val="TextedebullesCar"/>
    <w:uiPriority w:val="99"/>
    <w:semiHidden/>
    <w:unhideWhenUsed/>
    <w:rsid w:val="00E46BC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46BC1"/>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AADAC-6E66-43EB-8FE8-77C9EAC9CEC8}">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2.xml><?xml version="1.0" encoding="utf-8"?>
<ds:datastoreItem xmlns:ds="http://schemas.openxmlformats.org/officeDocument/2006/customXml" ds:itemID="{987E5708-B080-4B1C-914B-EE5AF0DD91F8}">
  <ds:schemaRefs>
    <ds:schemaRef ds:uri="http://schemas.microsoft.com/sharepoint/v3/contenttype/forms"/>
  </ds:schemaRefs>
</ds:datastoreItem>
</file>

<file path=customXml/itemProps3.xml><?xml version="1.0" encoding="utf-8"?>
<ds:datastoreItem xmlns:ds="http://schemas.openxmlformats.org/officeDocument/2006/customXml" ds:itemID="{8809C532-0D6D-4628-92EA-F3E3928ECD66}"/>
</file>

<file path=customXml/itemProps4.xml><?xml version="1.0" encoding="utf-8"?>
<ds:datastoreItem xmlns:ds="http://schemas.openxmlformats.org/officeDocument/2006/customXml" ds:itemID="{99AC6B8E-DD42-4845-BC90-977BF7AA4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5648</Words>
  <Characters>32200</Characters>
  <Application>Microsoft Office Word</Application>
  <DocSecurity>0</DocSecurity>
  <Lines>268</Lines>
  <Paragraphs>75</Paragraphs>
  <ScaleCrop>false</ScaleCrop>
  <HeadingPairs>
    <vt:vector size="2" baseType="variant">
      <vt:variant>
        <vt:lpstr>Titre</vt:lpstr>
      </vt:variant>
      <vt:variant>
        <vt:i4>1</vt:i4>
      </vt:variant>
    </vt:vector>
  </HeadingPairs>
  <TitlesOfParts>
    <vt:vector size="1" baseType="lpstr">
      <vt:lpstr>Chapitre 3</vt:lpstr>
    </vt:vector>
  </TitlesOfParts>
  <Company>CGPC - membre DE FPSB</Company>
  <LinksUpToDate>false</LinksUpToDate>
  <CharactersWithSpaces>37773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3 : Responsabilités et protection d’un chef d’entreprise</dc:title>
  <dc:subject>Responsabilités et protection d’un chef d’entreprise</dc:subject>
  <dc:creator>Renaud Duval</dc:creator>
  <cp:lastModifiedBy>Renaud Duval</cp:lastModifiedBy>
  <cp:revision>8</cp:revision>
  <cp:lastPrinted>2024-02-16T12:54:00Z</cp:lastPrinted>
  <dcterms:created xsi:type="dcterms:W3CDTF">2024-03-03T20:48:00Z</dcterms:created>
  <dcterms:modified xsi:type="dcterms:W3CDTF">2025-01-02T11:32:00Z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